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828" w:rsidRPr="00F70828" w:rsidRDefault="00F70828" w:rsidP="00F70828">
      <w:pPr>
        <w:jc w:val="center"/>
        <w:rPr>
          <w:rFonts w:ascii="Times New Roman" w:hAnsi="Times New Roman" w:cs="Times New Roman"/>
          <w:b/>
          <w:sz w:val="26"/>
          <w:szCs w:val="26"/>
        </w:rPr>
      </w:pPr>
      <w:bookmarkStart w:id="0" w:name="_GoBack"/>
      <w:r w:rsidRPr="00F70828">
        <w:rPr>
          <w:rFonts w:ascii="Times New Roman" w:hAnsi="Times New Roman" w:cs="Times New Roman"/>
          <w:b/>
          <w:sz w:val="26"/>
          <w:szCs w:val="26"/>
        </w:rPr>
        <w:t>NHỮNG CHÍNH SÁCH THUẾ CÓ HIỆU LỰC TỪ 1/7/2025</w:t>
      </w:r>
    </w:p>
    <w:bookmarkEnd w:id="0"/>
    <w:p w:rsidR="00F70828" w:rsidRPr="00F70828" w:rsidRDefault="00F70828" w:rsidP="00F70828">
      <w:pPr>
        <w:ind w:firstLine="720"/>
        <w:jc w:val="both"/>
        <w:rPr>
          <w:rFonts w:ascii="Times New Roman" w:hAnsi="Times New Roman" w:cs="Times New Roman"/>
          <w:sz w:val="26"/>
          <w:szCs w:val="26"/>
        </w:rPr>
      </w:pPr>
      <w:r w:rsidRPr="00F70828">
        <w:rPr>
          <w:rFonts w:ascii="Times New Roman" w:hAnsi="Times New Roman" w:cs="Times New Roman"/>
          <w:sz w:val="26"/>
          <w:szCs w:val="26"/>
        </w:rPr>
        <w:t xml:space="preserve">Từ ngày 01/7/2025, hàng loạt chính sách thuế mới sẽ chính thức có hiệu lực, kéo </w:t>
      </w:r>
      <w:proofErr w:type="gramStart"/>
      <w:r w:rsidRPr="00F70828">
        <w:rPr>
          <w:rFonts w:ascii="Times New Roman" w:hAnsi="Times New Roman" w:cs="Times New Roman"/>
          <w:sz w:val="26"/>
          <w:szCs w:val="26"/>
        </w:rPr>
        <w:t>theo</w:t>
      </w:r>
      <w:proofErr w:type="gramEnd"/>
      <w:r w:rsidRPr="00F70828">
        <w:rPr>
          <w:rFonts w:ascii="Times New Roman" w:hAnsi="Times New Roman" w:cs="Times New Roman"/>
          <w:sz w:val="26"/>
          <w:szCs w:val="26"/>
        </w:rPr>
        <w:t xml:space="preserve"> nhiều thay đổi quan trọng trong việc thực hiện nghĩa vụ thuế của cá nhân và doanh nghiệp. Một số nội dung đáng chú ý bao gồm: sửa đổi Luật Thuế giá trị gia tăng, quy định mới về kê khai và nộp thuế đối với hoạt động kinh doanh trên sàn thương mại điện tử, tiếp tục áp dụng mức giảm thuế GTGT, và việc sử dụng mã định danh cá nhân thay cho mã số thuế trong một số trường hợp. </w:t>
      </w:r>
      <w:proofErr w:type="gramStart"/>
      <w:r w:rsidRPr="00F70828">
        <w:rPr>
          <w:rFonts w:ascii="Times New Roman" w:hAnsi="Times New Roman" w:cs="Times New Roman"/>
          <w:sz w:val="26"/>
          <w:szCs w:val="26"/>
        </w:rPr>
        <w:t>Dưới đây là những điểm mới cần lưu ý.</w:t>
      </w:r>
      <w:proofErr w:type="gramEnd"/>
    </w:p>
    <w:p w:rsidR="00F70828" w:rsidRPr="00F70828" w:rsidRDefault="00F70828" w:rsidP="00F70828">
      <w:pPr>
        <w:jc w:val="both"/>
        <w:rPr>
          <w:rFonts w:ascii="Times New Roman" w:hAnsi="Times New Roman" w:cs="Times New Roman"/>
          <w:b/>
          <w:sz w:val="26"/>
          <w:szCs w:val="26"/>
        </w:rPr>
      </w:pPr>
      <w:r w:rsidRPr="00F70828">
        <w:rPr>
          <w:rFonts w:ascii="Times New Roman" w:hAnsi="Times New Roman" w:cs="Times New Roman"/>
          <w:b/>
          <w:sz w:val="26"/>
          <w:szCs w:val="26"/>
        </w:rPr>
        <w:t>1. Luật Thuế giá trị gia tăng có hiệu lực thi hành</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Luật thuế GTGT</w:t>
      </w:r>
    </w:p>
    <w:p w:rsidR="00F70828" w:rsidRPr="00F70828" w:rsidRDefault="00F70828" w:rsidP="00F70828">
      <w:pPr>
        <w:jc w:val="both"/>
        <w:rPr>
          <w:rFonts w:ascii="Times New Roman" w:hAnsi="Times New Roman" w:cs="Times New Roman"/>
          <w:sz w:val="26"/>
          <w:szCs w:val="26"/>
        </w:rPr>
      </w:pPr>
      <w:proofErr w:type="gramStart"/>
      <w:r w:rsidRPr="00F70828">
        <w:rPr>
          <w:rFonts w:ascii="Times New Roman" w:hAnsi="Times New Roman" w:cs="Times New Roman"/>
          <w:sz w:val="26"/>
          <w:szCs w:val="26"/>
        </w:rPr>
        <w:t>Sửa đổi Luật Thuế GTGT, đánh dấu bước tiến quan trọng trong cải cách chính sách thuế.</w:t>
      </w:r>
      <w:proofErr w:type="gramEnd"/>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Từ ngày 1/7/2025, Luật Thuế Giá trị gia tăng (GTGT) sửa đổi chính thức có hiệu lực, đánh dấu bước tiến quan trọng trong cải cách chính sách thuế. Được coi là một trong những trụ cột trong lộ trình hoàn thiện hệ thống thuế hiện đại, minh bạch, luật sửa đổi lần này bao gồm nhiều nội dung mớ</w:t>
      </w:r>
      <w:r>
        <w:rPr>
          <w:rFonts w:ascii="Times New Roman" w:hAnsi="Times New Roman" w:cs="Times New Roman"/>
          <w:sz w:val="26"/>
          <w:szCs w:val="26"/>
        </w:rPr>
        <w:t>i đáng chú ý, như:</w:t>
      </w:r>
    </w:p>
    <w:p w:rsidR="00F70828" w:rsidRPr="00F70828" w:rsidRDefault="00F70828" w:rsidP="00F70828">
      <w:pPr>
        <w:jc w:val="both"/>
        <w:rPr>
          <w:rFonts w:ascii="Times New Roman" w:hAnsi="Times New Roman" w:cs="Times New Roman"/>
          <w:sz w:val="26"/>
          <w:szCs w:val="26"/>
        </w:rPr>
      </w:pPr>
      <w:r>
        <w:rPr>
          <w:rFonts w:ascii="Times New Roman" w:hAnsi="Times New Roman" w:cs="Times New Roman"/>
          <w:sz w:val="26"/>
          <w:szCs w:val="26"/>
        </w:rPr>
        <w:t>-</w:t>
      </w:r>
      <w:r w:rsidRPr="00F70828">
        <w:rPr>
          <w:rFonts w:ascii="Times New Roman" w:hAnsi="Times New Roman" w:cs="Times New Roman"/>
          <w:sz w:val="26"/>
          <w:szCs w:val="26"/>
        </w:rPr>
        <w:t xml:space="preserve">Điều chỉnh phạm </w:t>
      </w:r>
      <w:proofErr w:type="gramStart"/>
      <w:r w:rsidRPr="00F70828">
        <w:rPr>
          <w:rFonts w:ascii="Times New Roman" w:hAnsi="Times New Roman" w:cs="Times New Roman"/>
          <w:sz w:val="26"/>
          <w:szCs w:val="26"/>
        </w:rPr>
        <w:t>vi</w:t>
      </w:r>
      <w:proofErr w:type="gramEnd"/>
      <w:r w:rsidRPr="00F70828">
        <w:rPr>
          <w:rFonts w:ascii="Times New Roman" w:hAnsi="Times New Roman" w:cs="Times New Roman"/>
          <w:sz w:val="26"/>
          <w:szCs w:val="26"/>
        </w:rPr>
        <w:t xml:space="preserve"> hàng hóa, dịch vụ không chịu thuế</w:t>
      </w:r>
      <w:r>
        <w:rPr>
          <w:rFonts w:ascii="Times New Roman" w:hAnsi="Times New Roman" w:cs="Times New Roman"/>
          <w:sz w:val="26"/>
          <w:szCs w:val="26"/>
        </w:rPr>
        <w:t xml:space="preserve"> GTGT.</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 Sửa đổi nguyên tắc xác định giá tính thuế đối với hàng hóa nhập khẩ</w:t>
      </w:r>
      <w:r>
        <w:rPr>
          <w:rFonts w:ascii="Times New Roman" w:hAnsi="Times New Roman" w:cs="Times New Roman"/>
          <w:sz w:val="26"/>
          <w:szCs w:val="26"/>
        </w:rPr>
        <w:t>u.</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 Bổ sung quy định về giá tính thuế với hàng hóa, dịch vụ phục vụ hoạt động khuyến mạ</w:t>
      </w:r>
      <w:r>
        <w:rPr>
          <w:rFonts w:ascii="Times New Roman" w:hAnsi="Times New Roman" w:cs="Times New Roman"/>
          <w:sz w:val="26"/>
          <w:szCs w:val="26"/>
        </w:rPr>
        <w:t>i.</w:t>
      </w:r>
    </w:p>
    <w:p w:rsidR="00F70828" w:rsidRPr="00F70828" w:rsidRDefault="00F70828" w:rsidP="00F70828">
      <w:pPr>
        <w:jc w:val="both"/>
        <w:rPr>
          <w:rFonts w:ascii="Times New Roman" w:hAnsi="Times New Roman" w:cs="Times New Roman"/>
          <w:sz w:val="26"/>
          <w:szCs w:val="26"/>
        </w:rPr>
      </w:pPr>
      <w:proofErr w:type="gramStart"/>
      <w:r w:rsidRPr="00F70828">
        <w:rPr>
          <w:rFonts w:ascii="Times New Roman" w:hAnsi="Times New Roman" w:cs="Times New Roman"/>
          <w:sz w:val="26"/>
          <w:szCs w:val="26"/>
        </w:rPr>
        <w:t>- Điều chỉnh thuế suất đối với một số nhóm hàng hóa, dịch vụ</w:t>
      </w:r>
      <w:r>
        <w:rPr>
          <w:rFonts w:ascii="Times New Roman" w:hAnsi="Times New Roman" w:cs="Times New Roman"/>
          <w:sz w:val="26"/>
          <w:szCs w:val="26"/>
        </w:rPr>
        <w:t>.</w:t>
      </w:r>
      <w:proofErr w:type="gramEnd"/>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 Mở rộng đối tượng áp dụng thuế suấ</w:t>
      </w:r>
      <w:r>
        <w:rPr>
          <w:rFonts w:ascii="Times New Roman" w:hAnsi="Times New Roman" w:cs="Times New Roman"/>
          <w:sz w:val="26"/>
          <w:szCs w:val="26"/>
        </w:rPr>
        <w:t>t 0%.</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 Bổ sung các trường hợp hoàn thuế</w:t>
      </w:r>
      <w:r>
        <w:rPr>
          <w:rFonts w:ascii="Times New Roman" w:hAnsi="Times New Roman" w:cs="Times New Roman"/>
          <w:sz w:val="26"/>
          <w:szCs w:val="26"/>
        </w:rPr>
        <w:t xml:space="preserve"> GTGT.</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 Thay đổi điều kiện khấu trừ thuế đầu vào nhằm siết chặt quản lý và tăng tính minh bạc</w:t>
      </w:r>
      <w:r>
        <w:rPr>
          <w:rFonts w:ascii="Times New Roman" w:hAnsi="Times New Roman" w:cs="Times New Roman"/>
          <w:sz w:val="26"/>
          <w:szCs w:val="26"/>
        </w:rPr>
        <w:t>h.</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 xml:space="preserve">Việc ban hành và áp dụng các quy định mới này được kỳ vọng sẽ tạo hành </w:t>
      </w:r>
      <w:proofErr w:type="gramStart"/>
      <w:r w:rsidRPr="00F70828">
        <w:rPr>
          <w:rFonts w:ascii="Times New Roman" w:hAnsi="Times New Roman" w:cs="Times New Roman"/>
          <w:sz w:val="26"/>
          <w:szCs w:val="26"/>
        </w:rPr>
        <w:t>lang</w:t>
      </w:r>
      <w:proofErr w:type="gramEnd"/>
      <w:r w:rsidRPr="00F70828">
        <w:rPr>
          <w:rFonts w:ascii="Times New Roman" w:hAnsi="Times New Roman" w:cs="Times New Roman"/>
          <w:sz w:val="26"/>
          <w:szCs w:val="26"/>
        </w:rPr>
        <w:t xml:space="preserve"> pháp lý đồng bộ, hỗ trợ doanh nghiệp và người dân trong quá trình thực hiện nghĩa vụ thuế, đồng thời góp phần vào sự phát triển ổn định của nền kinh tế</w:t>
      </w:r>
      <w:r>
        <w:rPr>
          <w:rFonts w:ascii="Times New Roman" w:hAnsi="Times New Roman" w:cs="Times New Roman"/>
          <w:sz w:val="26"/>
          <w:szCs w:val="26"/>
        </w:rPr>
        <w:t>.</w:t>
      </w:r>
    </w:p>
    <w:p w:rsidR="00F70828" w:rsidRPr="00F70828" w:rsidRDefault="00F70828" w:rsidP="00F70828">
      <w:pPr>
        <w:jc w:val="both"/>
        <w:rPr>
          <w:rFonts w:ascii="Times New Roman" w:hAnsi="Times New Roman" w:cs="Times New Roman"/>
          <w:b/>
          <w:sz w:val="26"/>
          <w:szCs w:val="26"/>
        </w:rPr>
      </w:pPr>
      <w:r w:rsidRPr="00F70828">
        <w:rPr>
          <w:rFonts w:ascii="Times New Roman" w:hAnsi="Times New Roman" w:cs="Times New Roman"/>
          <w:b/>
          <w:sz w:val="26"/>
          <w:szCs w:val="26"/>
        </w:rPr>
        <w:t>2. Giảm 2% thuế GTGT trong 06 tháng cuối năm 2025 và đến hết năm 2026</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Giảm thuế GTGT</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 xml:space="preserve">Nghị quyết giảm thuế với nhiều nội dung mới về mở rộng phạm </w:t>
      </w:r>
      <w:proofErr w:type="gramStart"/>
      <w:r w:rsidRPr="00F70828">
        <w:rPr>
          <w:rFonts w:ascii="Times New Roman" w:hAnsi="Times New Roman" w:cs="Times New Roman"/>
          <w:sz w:val="26"/>
          <w:szCs w:val="26"/>
        </w:rPr>
        <w:t>vi</w:t>
      </w:r>
      <w:proofErr w:type="gramEnd"/>
      <w:r w:rsidRPr="00F70828">
        <w:rPr>
          <w:rFonts w:ascii="Times New Roman" w:hAnsi="Times New Roman" w:cs="Times New Roman"/>
          <w:sz w:val="26"/>
          <w:szCs w:val="26"/>
        </w:rPr>
        <w:t xml:space="preserve"> áp dụng và thời gian.</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lastRenderedPageBreak/>
        <w:t>Sáng 17/6/2025, Quốc hội đã chính thức thông qua Nghị quyết về việc giảm thuế giá trị gia tăng (GTGT) nhằm hỗ trợ phục hồi kinh tế và thúc đẩy tiêu dùng. Theo đó, từ ngày 1/7/2025 đến hết ngày 31/12/2026, thuế suất GTGT sẽ được giảm 2% đối với các hàng hóa, dịch vụ đang áp dụng mức thuế 10% – tức giảm xuố</w:t>
      </w:r>
      <w:r>
        <w:rPr>
          <w:rFonts w:ascii="Times New Roman" w:hAnsi="Times New Roman" w:cs="Times New Roman"/>
          <w:sz w:val="26"/>
          <w:szCs w:val="26"/>
        </w:rPr>
        <w:t>ng còn 8%.</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 xml:space="preserve">Chính sách giảm thuế không áp dụng đối với một số lĩnh vực như: viễn thông, tài chính – ngân hàng, bảo hiểm, chứng khoán, kinh doanh bất động sản, sản phẩm </w:t>
      </w:r>
      <w:proofErr w:type="gramStart"/>
      <w:r w:rsidRPr="00F70828">
        <w:rPr>
          <w:rFonts w:ascii="Times New Roman" w:hAnsi="Times New Roman" w:cs="Times New Roman"/>
          <w:sz w:val="26"/>
          <w:szCs w:val="26"/>
        </w:rPr>
        <w:t>kim</w:t>
      </w:r>
      <w:proofErr w:type="gramEnd"/>
      <w:r w:rsidRPr="00F70828">
        <w:rPr>
          <w:rFonts w:ascii="Times New Roman" w:hAnsi="Times New Roman" w:cs="Times New Roman"/>
          <w:sz w:val="26"/>
          <w:szCs w:val="26"/>
        </w:rPr>
        <w:t xml:space="preserve"> loại, khoáng sản (trừ than), hàng hóa và dịch vụ chịu thuế tiêu thụ đặc biệt (trừ</w:t>
      </w:r>
      <w:r>
        <w:rPr>
          <w:rFonts w:ascii="Times New Roman" w:hAnsi="Times New Roman" w:cs="Times New Roman"/>
          <w:sz w:val="26"/>
          <w:szCs w:val="26"/>
        </w:rPr>
        <w:t xml:space="preserve"> xăng).</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Nghị quyết lần này mang nhiều điểm đổi mới đáng chú ý. Đặc biệt, phạm vi áp dụng chính sách giảm 2% thuế GTGT (từ 10% xuống 8%) được mở rộng thêm cho các lĩnh vực như vận tải, logistics, dịch vụ CNTT – những ngành then chốt trong tiến trình phát triển kinh tế số</w:t>
      </w:r>
      <w:r>
        <w:rPr>
          <w:rFonts w:ascii="Times New Roman" w:hAnsi="Times New Roman" w:cs="Times New Roman"/>
          <w:sz w:val="26"/>
          <w:szCs w:val="26"/>
        </w:rPr>
        <w:t>.</w:t>
      </w:r>
    </w:p>
    <w:p w:rsidR="00F70828" w:rsidRPr="00F70828" w:rsidRDefault="00F70828" w:rsidP="00F70828">
      <w:pPr>
        <w:jc w:val="both"/>
        <w:rPr>
          <w:rFonts w:ascii="Times New Roman" w:hAnsi="Times New Roman" w:cs="Times New Roman"/>
          <w:sz w:val="26"/>
          <w:szCs w:val="26"/>
        </w:rPr>
      </w:pPr>
      <w:proofErr w:type="gramStart"/>
      <w:r w:rsidRPr="00F70828">
        <w:rPr>
          <w:rFonts w:ascii="Times New Roman" w:hAnsi="Times New Roman" w:cs="Times New Roman"/>
          <w:sz w:val="26"/>
          <w:szCs w:val="26"/>
        </w:rPr>
        <w:t>Khác với các chính sách tạm thời trước đó, lần này thời gian áp dụng kéo dài đến hết năm 2026, tạo điều kiện để doanh nghiệp yên tâm lập kế hoạch và chủ động trong hoạt động sản xuấ</w:t>
      </w:r>
      <w:r>
        <w:rPr>
          <w:rFonts w:ascii="Times New Roman" w:hAnsi="Times New Roman" w:cs="Times New Roman"/>
          <w:sz w:val="26"/>
          <w:szCs w:val="26"/>
        </w:rPr>
        <w:t>t, kinh doanh.</w:t>
      </w:r>
      <w:proofErr w:type="gramEnd"/>
    </w:p>
    <w:p w:rsidR="00F70828" w:rsidRPr="00F70828" w:rsidRDefault="00F70828" w:rsidP="00F70828">
      <w:pPr>
        <w:jc w:val="both"/>
        <w:rPr>
          <w:rFonts w:ascii="Times New Roman" w:hAnsi="Times New Roman" w:cs="Times New Roman"/>
          <w:b/>
          <w:sz w:val="26"/>
          <w:szCs w:val="26"/>
        </w:rPr>
      </w:pPr>
      <w:r w:rsidRPr="00F70828">
        <w:rPr>
          <w:rFonts w:ascii="Times New Roman" w:hAnsi="Times New Roman" w:cs="Times New Roman"/>
          <w:b/>
          <w:sz w:val="26"/>
          <w:szCs w:val="26"/>
        </w:rPr>
        <w:t>3. Từ 1/7/2025 sàn thương mại điện tử phải kê khai và nộp thuế thay người bán</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Kể từ ngày 01/7/2025, tổ chức quản lý nền tảng thương mại điện tử trong và ngoài nước – bao gồm cả chủ sở hữu trực tiếp hoặc đơn vị được ủy quyền – sẽ có trách nhiệm khấu trừ và nộp thuế thay cho người bán là hộ kinh doanh, cá nhân kinh doanh hoạt động trên sàn thương mại điện tử</w:t>
      </w:r>
      <w:r>
        <w:rPr>
          <w:rFonts w:ascii="Times New Roman" w:hAnsi="Times New Roman" w:cs="Times New Roman"/>
          <w:sz w:val="26"/>
          <w:szCs w:val="26"/>
        </w:rPr>
        <w:t>.</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Cụ thể, tỷ lệ tính thuế</w:t>
      </w:r>
      <w:r>
        <w:rPr>
          <w:rFonts w:ascii="Times New Roman" w:hAnsi="Times New Roman" w:cs="Times New Roman"/>
          <w:sz w:val="26"/>
          <w:szCs w:val="26"/>
        </w:rPr>
        <w:t xml:space="preserve"> như sau:</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Thuế giá trị</w:t>
      </w:r>
      <w:r>
        <w:rPr>
          <w:rFonts w:ascii="Times New Roman" w:hAnsi="Times New Roman" w:cs="Times New Roman"/>
          <w:sz w:val="26"/>
          <w:szCs w:val="26"/>
        </w:rPr>
        <w:t xml:space="preserve"> gia tăng (GTGT):</w:t>
      </w:r>
    </w:p>
    <w:p w:rsidR="00F70828" w:rsidRPr="00F70828" w:rsidRDefault="00F70828" w:rsidP="00F70828">
      <w:pPr>
        <w:jc w:val="both"/>
        <w:rPr>
          <w:rFonts w:ascii="Times New Roman" w:hAnsi="Times New Roman" w:cs="Times New Roman"/>
          <w:sz w:val="26"/>
          <w:szCs w:val="26"/>
        </w:rPr>
      </w:pPr>
      <w:r>
        <w:rPr>
          <w:rFonts w:ascii="Times New Roman" w:hAnsi="Times New Roman" w:cs="Times New Roman"/>
          <w:sz w:val="26"/>
          <w:szCs w:val="26"/>
        </w:rPr>
        <w:t>- Hàng hóa: 1%.</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 Dịch vụ</w:t>
      </w:r>
      <w:r>
        <w:rPr>
          <w:rFonts w:ascii="Times New Roman" w:hAnsi="Times New Roman" w:cs="Times New Roman"/>
          <w:sz w:val="26"/>
          <w:szCs w:val="26"/>
        </w:rPr>
        <w:t>: 5%.</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 Vận tải, dịch vụ có gắn vớ</w:t>
      </w:r>
      <w:r>
        <w:rPr>
          <w:rFonts w:ascii="Times New Roman" w:hAnsi="Times New Roman" w:cs="Times New Roman"/>
          <w:sz w:val="26"/>
          <w:szCs w:val="26"/>
        </w:rPr>
        <w:t>i hàng hóa: 3%.</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 xml:space="preserve">Thuế </w:t>
      </w:r>
      <w:proofErr w:type="gramStart"/>
      <w:r w:rsidRPr="00F70828">
        <w:rPr>
          <w:rFonts w:ascii="Times New Roman" w:hAnsi="Times New Roman" w:cs="Times New Roman"/>
          <w:sz w:val="26"/>
          <w:szCs w:val="26"/>
        </w:rPr>
        <w:t>thu</w:t>
      </w:r>
      <w:proofErr w:type="gramEnd"/>
      <w:r w:rsidRPr="00F70828">
        <w:rPr>
          <w:rFonts w:ascii="Times New Roman" w:hAnsi="Times New Roman" w:cs="Times New Roman"/>
          <w:sz w:val="26"/>
          <w:szCs w:val="26"/>
        </w:rPr>
        <w:t xml:space="preserve"> nhậ</w:t>
      </w:r>
      <w:r>
        <w:rPr>
          <w:rFonts w:ascii="Times New Roman" w:hAnsi="Times New Roman" w:cs="Times New Roman"/>
          <w:sz w:val="26"/>
          <w:szCs w:val="26"/>
        </w:rPr>
        <w:t>p cá nhân (TNCN):</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Đối vớ</w:t>
      </w:r>
      <w:r>
        <w:rPr>
          <w:rFonts w:ascii="Times New Roman" w:hAnsi="Times New Roman" w:cs="Times New Roman"/>
          <w:sz w:val="26"/>
          <w:szCs w:val="26"/>
        </w:rPr>
        <w:t>i cá nhân cư trú:</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 xml:space="preserve">- </w:t>
      </w:r>
      <w:r>
        <w:rPr>
          <w:rFonts w:ascii="Times New Roman" w:hAnsi="Times New Roman" w:cs="Times New Roman"/>
          <w:sz w:val="26"/>
          <w:szCs w:val="26"/>
        </w:rPr>
        <w:t>Hàng hóa: 0</w:t>
      </w:r>
      <w:proofErr w:type="gramStart"/>
      <w:r>
        <w:rPr>
          <w:rFonts w:ascii="Times New Roman" w:hAnsi="Times New Roman" w:cs="Times New Roman"/>
          <w:sz w:val="26"/>
          <w:szCs w:val="26"/>
        </w:rPr>
        <w:t>,5</w:t>
      </w:r>
      <w:proofErr w:type="gramEnd"/>
      <w:r>
        <w:rPr>
          <w:rFonts w:ascii="Times New Roman" w:hAnsi="Times New Roman" w:cs="Times New Roman"/>
          <w:sz w:val="26"/>
          <w:szCs w:val="26"/>
        </w:rPr>
        <w:t>%.</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 Dịch vụ: 2%.</w:t>
      </w:r>
    </w:p>
    <w:p w:rsidR="00F70828" w:rsidRPr="00F70828" w:rsidRDefault="00F70828" w:rsidP="00F70828">
      <w:pPr>
        <w:jc w:val="both"/>
        <w:rPr>
          <w:rFonts w:ascii="Times New Roman" w:hAnsi="Times New Roman" w:cs="Times New Roman"/>
          <w:sz w:val="26"/>
          <w:szCs w:val="26"/>
        </w:rPr>
      </w:pP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lastRenderedPageBreak/>
        <w:t>- Vận tải, dịch vụ có gắn vớ</w:t>
      </w:r>
      <w:r>
        <w:rPr>
          <w:rFonts w:ascii="Times New Roman" w:hAnsi="Times New Roman" w:cs="Times New Roman"/>
          <w:sz w:val="26"/>
          <w:szCs w:val="26"/>
        </w:rPr>
        <w:t>i hàng hóa: 1</w:t>
      </w:r>
      <w:proofErr w:type="gramStart"/>
      <w:r>
        <w:rPr>
          <w:rFonts w:ascii="Times New Roman" w:hAnsi="Times New Roman" w:cs="Times New Roman"/>
          <w:sz w:val="26"/>
          <w:szCs w:val="26"/>
        </w:rPr>
        <w:t>,5</w:t>
      </w:r>
      <w:proofErr w:type="gramEnd"/>
      <w:r>
        <w:rPr>
          <w:rFonts w:ascii="Times New Roman" w:hAnsi="Times New Roman" w:cs="Times New Roman"/>
          <w:sz w:val="26"/>
          <w:szCs w:val="26"/>
        </w:rPr>
        <w:t>%.</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Đối vớ</w:t>
      </w:r>
      <w:r>
        <w:rPr>
          <w:rFonts w:ascii="Times New Roman" w:hAnsi="Times New Roman" w:cs="Times New Roman"/>
          <w:sz w:val="26"/>
          <w:szCs w:val="26"/>
        </w:rPr>
        <w:t>i cá nhân không cư trú:</w:t>
      </w:r>
    </w:p>
    <w:p w:rsidR="00F70828" w:rsidRPr="00F70828" w:rsidRDefault="00F70828" w:rsidP="00F70828">
      <w:pPr>
        <w:jc w:val="both"/>
        <w:rPr>
          <w:rFonts w:ascii="Times New Roman" w:hAnsi="Times New Roman" w:cs="Times New Roman"/>
          <w:sz w:val="26"/>
          <w:szCs w:val="26"/>
        </w:rPr>
      </w:pPr>
      <w:r>
        <w:rPr>
          <w:rFonts w:ascii="Times New Roman" w:hAnsi="Times New Roman" w:cs="Times New Roman"/>
          <w:sz w:val="26"/>
          <w:szCs w:val="26"/>
        </w:rPr>
        <w:t>- Hàng hóa: 1%.</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 Dịch vụ</w:t>
      </w:r>
      <w:r>
        <w:rPr>
          <w:rFonts w:ascii="Times New Roman" w:hAnsi="Times New Roman" w:cs="Times New Roman"/>
          <w:sz w:val="26"/>
          <w:szCs w:val="26"/>
        </w:rPr>
        <w:t>: 5%.</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 Vận tải, dịch vụ có gắn vớ</w:t>
      </w:r>
      <w:r>
        <w:rPr>
          <w:rFonts w:ascii="Times New Roman" w:hAnsi="Times New Roman" w:cs="Times New Roman"/>
          <w:sz w:val="26"/>
          <w:szCs w:val="26"/>
        </w:rPr>
        <w:t>i hàng hóa: 2%.</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Hộ, cá nhân kinh doanh trên nền tảng thương mại điện tử có nghĩa vụ cung cấp đầy đủ, chính xác các thông tin sau cho tổ chức quản lý nền tảng để phục vụ việc khấu trừ và nộp thuế</w:t>
      </w:r>
      <w:r>
        <w:rPr>
          <w:rFonts w:ascii="Times New Roman" w:hAnsi="Times New Roman" w:cs="Times New Roman"/>
          <w:sz w:val="26"/>
          <w:szCs w:val="26"/>
        </w:rPr>
        <w:t xml:space="preserve"> thay:</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 Mã số thuế hoặc số định danh cá nhân (đối với công dân Việ</w:t>
      </w:r>
      <w:r>
        <w:rPr>
          <w:rFonts w:ascii="Times New Roman" w:hAnsi="Times New Roman" w:cs="Times New Roman"/>
          <w:sz w:val="26"/>
          <w:szCs w:val="26"/>
        </w:rPr>
        <w:t>t Nam).</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 Số hộ chiếu hoặc thông tin định danh hợp lệ do cơ quan có thẩm quyền nước ngoài cấp (đối với công dân nướ</w:t>
      </w:r>
      <w:r>
        <w:rPr>
          <w:rFonts w:ascii="Times New Roman" w:hAnsi="Times New Roman" w:cs="Times New Roman"/>
          <w:sz w:val="26"/>
          <w:szCs w:val="26"/>
        </w:rPr>
        <w:t>c ngoài).</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 Các thông tin bắt buộc theo quy định của pháp luật về thương mại điện tử, bao gồm: họ tên người bán, địa chỉ, thông tin liên hệ, ngành nghề kinh doanh, hình thức thanh toán, danh mục hàng hóa/dịch vụ</w:t>
      </w:r>
      <w:r>
        <w:rPr>
          <w:rFonts w:ascii="Times New Roman" w:hAnsi="Times New Roman" w:cs="Times New Roman"/>
          <w:sz w:val="26"/>
          <w:szCs w:val="26"/>
        </w:rPr>
        <w:t xml:space="preserve"> kinh doanh</w:t>
      </w:r>
      <w:proofErr w:type="gramStart"/>
      <w:r>
        <w:rPr>
          <w:rFonts w:ascii="Times New Roman" w:hAnsi="Times New Roman" w:cs="Times New Roman"/>
          <w:sz w:val="26"/>
          <w:szCs w:val="26"/>
        </w:rPr>
        <w:t>,…</w:t>
      </w:r>
      <w:proofErr w:type="gramEnd"/>
    </w:p>
    <w:p w:rsidR="00F70828" w:rsidRPr="00F70828" w:rsidRDefault="00F70828" w:rsidP="00F70828">
      <w:pPr>
        <w:jc w:val="both"/>
        <w:rPr>
          <w:rFonts w:ascii="Times New Roman" w:hAnsi="Times New Roman" w:cs="Times New Roman"/>
          <w:b/>
          <w:sz w:val="26"/>
          <w:szCs w:val="26"/>
        </w:rPr>
      </w:pPr>
      <w:r w:rsidRPr="00F70828">
        <w:rPr>
          <w:rFonts w:ascii="Times New Roman" w:hAnsi="Times New Roman" w:cs="Times New Roman"/>
          <w:b/>
          <w:sz w:val="26"/>
          <w:szCs w:val="26"/>
        </w:rPr>
        <w:t>4. Doanh nghiệp phải đăng ký tài khoản định danh điện tử</w:t>
      </w:r>
    </w:p>
    <w:p w:rsidR="00F70828" w:rsidRPr="00F70828" w:rsidRDefault="00F70828" w:rsidP="00F70828">
      <w:pPr>
        <w:jc w:val="both"/>
        <w:rPr>
          <w:rFonts w:ascii="Times New Roman" w:hAnsi="Times New Roman" w:cs="Times New Roman"/>
          <w:sz w:val="26"/>
          <w:szCs w:val="26"/>
        </w:rPr>
      </w:pPr>
      <w:proofErr w:type="gramStart"/>
      <w:r w:rsidRPr="00F70828">
        <w:rPr>
          <w:rFonts w:ascii="Times New Roman" w:hAnsi="Times New Roman" w:cs="Times New Roman"/>
          <w:sz w:val="26"/>
          <w:szCs w:val="26"/>
        </w:rPr>
        <w:t>Theo Khoản 4, Điều 10, Nghị định 69/2024/NĐ-CP, từ ngày 01/7/2025, các tài khoản trên Cổng Dịch vụ công quốc gia, hệ thống TTHC các cấp sẽ hết hiệu lự</w:t>
      </w:r>
      <w:r>
        <w:rPr>
          <w:rFonts w:ascii="Times New Roman" w:hAnsi="Times New Roman" w:cs="Times New Roman"/>
          <w:sz w:val="26"/>
          <w:szCs w:val="26"/>
        </w:rPr>
        <w:t>c.</w:t>
      </w:r>
      <w:proofErr w:type="gramEnd"/>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Từ ngày 01/7/2025, doanh nghiệp bắt đầu sử dụng tài khoản định danh điện tử trên VNeID để truy cập Cổng dịch vụ công quốc gia, hệ thống thông tin giải quyết thủ tục hành chính các cấp để giải quyết các thủ tục hành chính theo quy đị</w:t>
      </w:r>
      <w:r>
        <w:rPr>
          <w:rFonts w:ascii="Times New Roman" w:hAnsi="Times New Roman" w:cs="Times New Roman"/>
          <w:sz w:val="26"/>
          <w:szCs w:val="26"/>
        </w:rPr>
        <w:t>nh.</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=&gt; Doanh nghiệp thực hiện định danh điện tử trước ngày 01/7/2025 để tránh những rủi ro pháp lý khi thực hiện các thủ tục hành chính cần thiế</w:t>
      </w:r>
      <w:r>
        <w:rPr>
          <w:rFonts w:ascii="Times New Roman" w:hAnsi="Times New Roman" w:cs="Times New Roman"/>
          <w:sz w:val="26"/>
          <w:szCs w:val="26"/>
        </w:rPr>
        <w:t>t.</w:t>
      </w:r>
    </w:p>
    <w:p w:rsidR="00F70828" w:rsidRPr="00F70828" w:rsidRDefault="00F70828" w:rsidP="00F70828">
      <w:pPr>
        <w:jc w:val="both"/>
        <w:rPr>
          <w:rFonts w:ascii="Times New Roman" w:hAnsi="Times New Roman" w:cs="Times New Roman"/>
          <w:b/>
          <w:sz w:val="26"/>
          <w:szCs w:val="26"/>
        </w:rPr>
      </w:pPr>
      <w:r w:rsidRPr="00F70828">
        <w:rPr>
          <w:rFonts w:ascii="Times New Roman" w:hAnsi="Times New Roman" w:cs="Times New Roman"/>
          <w:b/>
          <w:sz w:val="26"/>
          <w:szCs w:val="26"/>
        </w:rPr>
        <w:t>5. Số định danh cá nhân thay thế mã số thuế cá nhân</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Mã số thuế</w:t>
      </w:r>
    </w:p>
    <w:p w:rsidR="00F70828" w:rsidRPr="00F70828" w:rsidRDefault="00F70828" w:rsidP="00F70828">
      <w:pPr>
        <w:jc w:val="both"/>
        <w:rPr>
          <w:rFonts w:ascii="Times New Roman" w:hAnsi="Times New Roman" w:cs="Times New Roman"/>
          <w:sz w:val="26"/>
          <w:szCs w:val="26"/>
        </w:rPr>
      </w:pPr>
      <w:proofErr w:type="gramStart"/>
      <w:r w:rsidRPr="00F70828">
        <w:rPr>
          <w:rFonts w:ascii="Times New Roman" w:hAnsi="Times New Roman" w:cs="Times New Roman"/>
          <w:sz w:val="26"/>
          <w:szCs w:val="26"/>
        </w:rPr>
        <w:t>Từ 1/7/2025, việc sử dụng mã số thuế sẽ được thay thế bằng số định danh cá nhân.</w:t>
      </w:r>
      <w:proofErr w:type="gramEnd"/>
    </w:p>
    <w:p w:rsidR="00F70828" w:rsidRPr="00F70828" w:rsidRDefault="00F70828" w:rsidP="00F70828">
      <w:pPr>
        <w:jc w:val="both"/>
        <w:rPr>
          <w:rFonts w:ascii="Times New Roman" w:hAnsi="Times New Roman" w:cs="Times New Roman"/>
          <w:sz w:val="26"/>
          <w:szCs w:val="26"/>
        </w:rPr>
      </w:pPr>
      <w:proofErr w:type="gramStart"/>
      <w:r w:rsidRPr="00F70828">
        <w:rPr>
          <w:rFonts w:ascii="Times New Roman" w:hAnsi="Times New Roman" w:cs="Times New Roman"/>
          <w:sz w:val="26"/>
          <w:szCs w:val="26"/>
        </w:rPr>
        <w:t>Theo Thông tư 86/2024/TT-BTC, đến hết ngày 30/6/2025, cơ quan thuế vẫn tiếp tục cấp và sử dụng mã số thuế cho cá nhân, hộ gia đình, hộ kinh doanh.</w:t>
      </w:r>
      <w:proofErr w:type="gramEnd"/>
      <w:r w:rsidRPr="00F70828">
        <w:rPr>
          <w:rFonts w:ascii="Times New Roman" w:hAnsi="Times New Roman" w:cs="Times New Roman"/>
          <w:sz w:val="26"/>
          <w:szCs w:val="26"/>
        </w:rPr>
        <w:t xml:space="preserve"> Tuy nhiên, từ ngày </w:t>
      </w:r>
      <w:r w:rsidRPr="00F70828">
        <w:rPr>
          <w:rFonts w:ascii="Times New Roman" w:hAnsi="Times New Roman" w:cs="Times New Roman"/>
          <w:sz w:val="26"/>
          <w:szCs w:val="26"/>
        </w:rPr>
        <w:lastRenderedPageBreak/>
        <w:t xml:space="preserve">1/7/2025, việc sử dụng mã số thuế sẽ được thay thế bằng số định danh cá nhân </w:t>
      </w:r>
      <w:proofErr w:type="gramStart"/>
      <w:r w:rsidRPr="00F70828">
        <w:rPr>
          <w:rFonts w:ascii="Times New Roman" w:hAnsi="Times New Roman" w:cs="Times New Roman"/>
          <w:sz w:val="26"/>
          <w:szCs w:val="26"/>
        </w:rPr>
        <w:t>theo</w:t>
      </w:r>
      <w:proofErr w:type="gramEnd"/>
      <w:r w:rsidRPr="00F70828">
        <w:rPr>
          <w:rFonts w:ascii="Times New Roman" w:hAnsi="Times New Roman" w:cs="Times New Roman"/>
          <w:sz w:val="26"/>
          <w:szCs w:val="26"/>
        </w:rPr>
        <w:t xml:space="preserve"> quy định tại Điều 35, Luật Quản lý thuế</w:t>
      </w:r>
      <w:r>
        <w:rPr>
          <w:rFonts w:ascii="Times New Roman" w:hAnsi="Times New Roman" w:cs="Times New Roman"/>
          <w:sz w:val="26"/>
          <w:szCs w:val="26"/>
        </w:rPr>
        <w:t>.</w:t>
      </w:r>
    </w:p>
    <w:p w:rsidR="00F70828" w:rsidRPr="00F70828" w:rsidRDefault="00F70828" w:rsidP="00F70828">
      <w:pPr>
        <w:jc w:val="both"/>
        <w:rPr>
          <w:rFonts w:ascii="Times New Roman" w:hAnsi="Times New Roman" w:cs="Times New Roman"/>
          <w:sz w:val="26"/>
          <w:szCs w:val="26"/>
        </w:rPr>
      </w:pPr>
      <w:r w:rsidRPr="00F70828">
        <w:rPr>
          <w:rFonts w:ascii="Times New Roman" w:hAnsi="Times New Roman" w:cs="Times New Roman"/>
          <w:sz w:val="26"/>
          <w:szCs w:val="26"/>
        </w:rPr>
        <w:t>Sự thay đổi này áp dụng đối với người nộp thuế cũng như các cơ quan quản lý thuế và các tổ chức, cá nhân có liên quan, nhằm đồng bộ hóa dữ liệu và nâng cao hiệu quả quản lý thuế trong thời kỳ chuyển đổi số</w:t>
      </w:r>
      <w:r>
        <w:rPr>
          <w:rFonts w:ascii="Times New Roman" w:hAnsi="Times New Roman" w:cs="Times New Roman"/>
          <w:sz w:val="26"/>
          <w:szCs w:val="26"/>
        </w:rPr>
        <w:t>.</w:t>
      </w:r>
    </w:p>
    <w:p w:rsidR="00EB740D" w:rsidRPr="00F70828" w:rsidRDefault="00EB740D" w:rsidP="00F70828">
      <w:pPr>
        <w:jc w:val="both"/>
        <w:rPr>
          <w:rFonts w:ascii="Times New Roman" w:hAnsi="Times New Roman" w:cs="Times New Roman"/>
          <w:sz w:val="26"/>
          <w:szCs w:val="26"/>
        </w:rPr>
      </w:pPr>
    </w:p>
    <w:sectPr w:rsidR="00EB740D" w:rsidRPr="00F70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28"/>
    <w:rsid w:val="00EB740D"/>
    <w:rsid w:val="00F7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2025-07-15T11:24:00Z</dcterms:created>
  <dcterms:modified xsi:type="dcterms:W3CDTF">2025-07-15T11:28:00Z</dcterms:modified>
</cp:coreProperties>
</file>