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0E2" w:rsidRPr="00BF10E2" w:rsidRDefault="00BF10E2" w:rsidP="00BF10E2">
      <w:pPr>
        <w:pStyle w:val="Heading1"/>
        <w:shd w:val="clear" w:color="auto" w:fill="FFFFFF"/>
        <w:spacing w:before="150"/>
        <w:jc w:val="center"/>
        <w:rPr>
          <w:rFonts w:ascii="Times New Roman" w:hAnsi="Times New Roman" w:cs="Times New Roman"/>
          <w:color w:val="auto"/>
          <w:sz w:val="26"/>
          <w:szCs w:val="26"/>
        </w:rPr>
      </w:pPr>
      <w:r w:rsidRPr="00BF10E2">
        <w:rPr>
          <w:rFonts w:ascii="Times New Roman" w:hAnsi="Times New Roman" w:cs="Times New Roman"/>
          <w:color w:val="auto"/>
          <w:sz w:val="26"/>
          <w:szCs w:val="26"/>
        </w:rPr>
        <w:t>15 ĐIỂM MỚI VỀ LUẬT BẢO HIỂM XÃ HỘI NĂM 2024</w:t>
      </w:r>
      <w:r w:rsidRPr="00BF10E2">
        <w:rPr>
          <w:rFonts w:ascii="Times New Roman" w:hAnsi="Times New Roman" w:cs="Times New Roman"/>
          <w:color w:val="auto"/>
          <w:sz w:val="26"/>
          <w:szCs w:val="26"/>
        </w:rPr>
        <w:t xml:space="preserve"> (có hiệu lực từ 01/7/2025)</w:t>
      </w:r>
    </w:p>
    <w:p w:rsidR="00BF10E2" w:rsidRPr="00BF10E2" w:rsidRDefault="00BF10E2" w:rsidP="00BF10E2">
      <w:pPr>
        <w:pStyle w:val="Heading2"/>
        <w:shd w:val="clear" w:color="auto" w:fill="FFFFFF"/>
        <w:spacing w:before="150" w:beforeAutospacing="0" w:after="150" w:afterAutospacing="0"/>
        <w:jc w:val="both"/>
        <w:rPr>
          <w:sz w:val="26"/>
          <w:szCs w:val="26"/>
        </w:rPr>
      </w:pPr>
      <w:hyperlink r:id="rId6" w:tgtFrame="_blank" w:history="1">
        <w:r w:rsidRPr="00BF10E2">
          <w:rPr>
            <w:rStyle w:val="Hyperlink"/>
            <w:color w:val="auto"/>
            <w:sz w:val="26"/>
            <w:szCs w:val="26"/>
            <w:u w:val="none"/>
          </w:rPr>
          <w:t>Luật Bảo hiểm xã hội 2024</w:t>
        </w:r>
      </w:hyperlink>
      <w:r w:rsidRPr="00BF10E2">
        <w:rPr>
          <w:sz w:val="26"/>
          <w:szCs w:val="26"/>
        </w:rPr>
        <w:t> thay thế </w:t>
      </w:r>
      <w:hyperlink r:id="rId7" w:tgtFrame="_blank" w:history="1">
        <w:r w:rsidRPr="00BF10E2">
          <w:rPr>
            <w:rStyle w:val="Hyperlink"/>
            <w:color w:val="auto"/>
            <w:sz w:val="26"/>
            <w:szCs w:val="26"/>
            <w:u w:val="none"/>
          </w:rPr>
          <w:t>Luật Bảo hiểm xã hội 2014</w:t>
        </w:r>
      </w:hyperlink>
      <w:r w:rsidRPr="00BF10E2">
        <w:rPr>
          <w:sz w:val="26"/>
          <w:szCs w:val="26"/>
        </w:rPr>
        <w:t> sẽ có hiệu lực thi hành từ ngày 01/7/2025. Dưới đây là 15 điểm mới </w:t>
      </w:r>
      <w:hyperlink r:id="rId8" w:tgtFrame="_blank" w:history="1">
        <w:r w:rsidRPr="00BF10E2">
          <w:rPr>
            <w:rStyle w:val="Hyperlink"/>
            <w:color w:val="auto"/>
            <w:sz w:val="26"/>
            <w:szCs w:val="26"/>
            <w:u w:val="none"/>
          </w:rPr>
          <w:t>Luật Bảo hiểm xã hội 2024</w:t>
        </w:r>
      </w:hyperlink>
      <w:r w:rsidRPr="00BF10E2">
        <w:rPr>
          <w:sz w:val="26"/>
          <w:szCs w:val="26"/>
        </w:rPr>
        <w:t>.</w:t>
      </w:r>
    </w:p>
    <w:p w:rsidR="00BF10E2" w:rsidRPr="00BF10E2" w:rsidRDefault="00BF10E2" w:rsidP="00BF10E2">
      <w:pPr>
        <w:shd w:val="clear" w:color="auto" w:fill="FFFFFF"/>
        <w:spacing w:after="150" w:line="240" w:lineRule="auto"/>
        <w:jc w:val="both"/>
        <w:rPr>
          <w:rFonts w:ascii="Times New Roman" w:eastAsia="Times New Roman" w:hAnsi="Times New Roman" w:cs="Times New Roman"/>
          <w:sz w:val="26"/>
          <w:szCs w:val="26"/>
        </w:rPr>
      </w:pPr>
      <w:r w:rsidRPr="00BF10E2">
        <w:rPr>
          <w:rFonts w:ascii="Times New Roman" w:eastAsia="Times New Roman" w:hAnsi="Times New Roman" w:cs="Times New Roman"/>
          <w:sz w:val="26"/>
          <w:szCs w:val="26"/>
        </w:rPr>
        <w:t>Cụ thể, </w:t>
      </w:r>
      <w:hyperlink r:id="rId9" w:tgtFrame="_blank" w:history="1">
        <w:r w:rsidRPr="00BF10E2">
          <w:rPr>
            <w:rFonts w:ascii="Times New Roman" w:eastAsia="Times New Roman" w:hAnsi="Times New Roman" w:cs="Times New Roman"/>
            <w:sz w:val="26"/>
            <w:szCs w:val="26"/>
          </w:rPr>
          <w:t>Luật Bảo hi</w:t>
        </w:r>
        <w:bookmarkStart w:id="0" w:name="_GoBack"/>
        <w:bookmarkEnd w:id="0"/>
        <w:r w:rsidRPr="00BF10E2">
          <w:rPr>
            <w:rFonts w:ascii="Times New Roman" w:eastAsia="Times New Roman" w:hAnsi="Times New Roman" w:cs="Times New Roman"/>
            <w:sz w:val="26"/>
            <w:szCs w:val="26"/>
          </w:rPr>
          <w:t>ểm xã hội 2024</w:t>
        </w:r>
      </w:hyperlink>
      <w:r w:rsidRPr="00BF10E2">
        <w:rPr>
          <w:rFonts w:ascii="Times New Roman" w:eastAsia="Times New Roman" w:hAnsi="Times New Roman" w:cs="Times New Roman"/>
          <w:sz w:val="26"/>
          <w:szCs w:val="26"/>
        </w:rPr>
        <w:t> có 15 điểm mới trọng tâm sau đây.</w:t>
      </w:r>
    </w:p>
    <w:p w:rsidR="00BF10E2" w:rsidRPr="00BF10E2" w:rsidRDefault="00BF10E2" w:rsidP="00BF10E2">
      <w:pPr>
        <w:shd w:val="clear" w:color="auto" w:fill="FFFFFF"/>
        <w:spacing w:after="150" w:line="240" w:lineRule="auto"/>
        <w:jc w:val="both"/>
        <w:rPr>
          <w:rFonts w:ascii="Times New Roman" w:eastAsia="Times New Roman" w:hAnsi="Times New Roman" w:cs="Times New Roman"/>
          <w:sz w:val="26"/>
          <w:szCs w:val="26"/>
        </w:rPr>
      </w:pPr>
      <w:r w:rsidRPr="00BF10E2">
        <w:rPr>
          <w:rFonts w:ascii="Times New Roman" w:eastAsia="Times New Roman" w:hAnsi="Times New Roman" w:cs="Times New Roman"/>
          <w:sz w:val="26"/>
          <w:szCs w:val="26"/>
        </w:rPr>
        <w:t>1. Đóng BHXH tối thiểu 15 năm sẽ được hưởng lương hưu</w:t>
      </w:r>
    </w:p>
    <w:p w:rsidR="00BF10E2" w:rsidRPr="00BF10E2" w:rsidRDefault="00BF10E2" w:rsidP="00BF10E2">
      <w:pPr>
        <w:shd w:val="clear" w:color="auto" w:fill="FFFFFF"/>
        <w:spacing w:after="150" w:line="240" w:lineRule="auto"/>
        <w:jc w:val="both"/>
        <w:rPr>
          <w:rFonts w:ascii="Times New Roman" w:eastAsia="Times New Roman" w:hAnsi="Times New Roman" w:cs="Times New Roman"/>
          <w:sz w:val="26"/>
          <w:szCs w:val="26"/>
        </w:rPr>
      </w:pPr>
      <w:hyperlink r:id="rId10" w:tgtFrame="_blank" w:history="1">
        <w:r w:rsidRPr="00BF10E2">
          <w:rPr>
            <w:rFonts w:ascii="Times New Roman" w:eastAsia="Times New Roman" w:hAnsi="Times New Roman" w:cs="Times New Roman"/>
            <w:sz w:val="26"/>
            <w:szCs w:val="26"/>
          </w:rPr>
          <w:t>Luật Bảo hiểm xã hội 2024</w:t>
        </w:r>
      </w:hyperlink>
      <w:r w:rsidRPr="00BF10E2">
        <w:rPr>
          <w:rFonts w:ascii="Times New Roman" w:eastAsia="Times New Roman" w:hAnsi="Times New Roman" w:cs="Times New Roman"/>
          <w:sz w:val="26"/>
          <w:szCs w:val="26"/>
        </w:rPr>
        <w:t> gia tăng cơ hội được hưởng lương hưu của người tham gia BHXH thông qua việc giảm điều kiện về số năm đóng BHXH tối thiểu để được hưởng lương hưu từ 20 năm xuống 15 năm.</w:t>
      </w:r>
    </w:p>
    <w:p w:rsidR="00BF10E2" w:rsidRPr="00BF10E2" w:rsidRDefault="00BF10E2" w:rsidP="00BF10E2">
      <w:pPr>
        <w:shd w:val="clear" w:color="auto" w:fill="FFFFFF"/>
        <w:spacing w:after="150" w:line="240" w:lineRule="auto"/>
        <w:jc w:val="both"/>
        <w:rPr>
          <w:rFonts w:ascii="Times New Roman" w:eastAsia="Times New Roman" w:hAnsi="Times New Roman" w:cs="Times New Roman"/>
          <w:sz w:val="26"/>
          <w:szCs w:val="26"/>
        </w:rPr>
      </w:pPr>
      <w:r w:rsidRPr="00BF10E2">
        <w:rPr>
          <w:rFonts w:ascii="Times New Roman" w:eastAsia="Times New Roman" w:hAnsi="Times New Roman" w:cs="Times New Roman"/>
          <w:sz w:val="26"/>
          <w:szCs w:val="26"/>
        </w:rPr>
        <w:t>2. Bổ sung chế độ thai sản vào chính sách BHXH tự nguyện</w:t>
      </w:r>
    </w:p>
    <w:p w:rsidR="00BF10E2" w:rsidRPr="00BF10E2" w:rsidRDefault="00BF10E2" w:rsidP="00BF10E2">
      <w:pPr>
        <w:shd w:val="clear" w:color="auto" w:fill="FFFFFF"/>
        <w:spacing w:after="150" w:line="240" w:lineRule="auto"/>
        <w:jc w:val="both"/>
        <w:rPr>
          <w:rFonts w:ascii="Times New Roman" w:eastAsia="Times New Roman" w:hAnsi="Times New Roman" w:cs="Times New Roman"/>
          <w:sz w:val="26"/>
          <w:szCs w:val="26"/>
        </w:rPr>
      </w:pPr>
      <w:r w:rsidRPr="00BF10E2">
        <w:rPr>
          <w:rFonts w:ascii="Times New Roman" w:eastAsia="Times New Roman" w:hAnsi="Times New Roman" w:cs="Times New Roman"/>
          <w:sz w:val="26"/>
          <w:szCs w:val="26"/>
        </w:rPr>
        <w:t>Người tham gia BHXH tự nguyện đáp ứng đủ điều kiện theo quy định được hưởng trợ cấp thai sản với mức là 2 triệu đồng cho mỗi con mới sinh, do ngân sách nhà nước bảo đảm, người lao động không phải đóng thêm so với quy định hiện hành.</w:t>
      </w:r>
    </w:p>
    <w:p w:rsidR="00BF10E2" w:rsidRPr="00BF10E2" w:rsidRDefault="00BF10E2" w:rsidP="00BF10E2">
      <w:pPr>
        <w:shd w:val="clear" w:color="auto" w:fill="FFFFFF"/>
        <w:spacing w:after="150" w:line="240" w:lineRule="auto"/>
        <w:jc w:val="both"/>
        <w:rPr>
          <w:rFonts w:ascii="Times New Roman" w:eastAsia="Times New Roman" w:hAnsi="Times New Roman" w:cs="Times New Roman"/>
          <w:sz w:val="26"/>
          <w:szCs w:val="26"/>
        </w:rPr>
      </w:pPr>
      <w:r w:rsidRPr="00BF10E2">
        <w:rPr>
          <w:rFonts w:ascii="Times New Roman" w:eastAsia="Times New Roman" w:hAnsi="Times New Roman" w:cs="Times New Roman"/>
          <w:sz w:val="26"/>
          <w:szCs w:val="26"/>
        </w:rPr>
        <w:t>3. Mở rộng đối tượng được tham gia</w:t>
      </w:r>
    </w:p>
    <w:p w:rsidR="00BF10E2" w:rsidRPr="00BF10E2" w:rsidRDefault="00BF10E2" w:rsidP="00BF10E2">
      <w:pPr>
        <w:pStyle w:val="NormalWeb"/>
        <w:shd w:val="clear" w:color="auto" w:fill="FFFFFF"/>
        <w:spacing w:before="0" w:beforeAutospacing="0" w:after="150" w:afterAutospacing="0"/>
        <w:jc w:val="both"/>
        <w:rPr>
          <w:i/>
          <w:iCs/>
          <w:sz w:val="26"/>
          <w:szCs w:val="26"/>
        </w:rPr>
      </w:pPr>
      <w:hyperlink r:id="rId11" w:tgtFrame="_blank" w:history="1">
        <w:r w:rsidRPr="00BF10E2">
          <w:rPr>
            <w:rStyle w:val="Hyperlink"/>
            <w:color w:val="auto"/>
            <w:sz w:val="26"/>
            <w:szCs w:val="26"/>
          </w:rPr>
          <w:t>Luật Bảo hiểm xã hội 2024</w:t>
        </w:r>
      </w:hyperlink>
      <w:r w:rsidRPr="00BF10E2">
        <w:rPr>
          <w:sz w:val="26"/>
          <w:szCs w:val="26"/>
        </w:rPr>
        <w:t> quy định mở rộng đối tượng được tham gia và thụ hưởng đầy đủ các chế độ BHXH bằng việc mở rộng đối tượng tham gia BHXH bắt buộc đối với chủ hộ kinh doanh của hộ kinh doanh có đăng ký kinh doanh; Người hoạt động không chuyên trách ở cấp xã, ở thôn, tổ dân phố; Người lao động làm việc không trọn thời gian; Người quản lý doanh nghiệp, người quản lý điều hành hợp tác xã không hưởng tiền lương.</w:t>
      </w:r>
      <w:r w:rsidRPr="00BF10E2">
        <w:rPr>
          <w:rStyle w:val="Emphasis"/>
          <w:sz w:val="26"/>
          <w:szCs w:val="26"/>
        </w:rPr>
        <w:t xml:space="preserve"> </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4. Bổ sung quyền thụ hưởng chế độ ốm đau, thai sản đối với người hoạt động không chuyên trách ở cấp xã</w:t>
      </w:r>
    </w:p>
    <w:p w:rsidR="00BF10E2" w:rsidRPr="00BF10E2" w:rsidRDefault="00BF10E2" w:rsidP="00BF10E2">
      <w:pPr>
        <w:pStyle w:val="NormalWeb"/>
        <w:shd w:val="clear" w:color="auto" w:fill="FFFFFF"/>
        <w:spacing w:before="0" w:beforeAutospacing="0" w:after="150" w:afterAutospacing="0"/>
        <w:jc w:val="both"/>
        <w:rPr>
          <w:sz w:val="26"/>
          <w:szCs w:val="26"/>
        </w:rPr>
      </w:pPr>
      <w:hyperlink r:id="rId12" w:tgtFrame="_blank" w:history="1">
        <w:r w:rsidRPr="00BF10E2">
          <w:rPr>
            <w:rStyle w:val="Hyperlink"/>
            <w:color w:val="auto"/>
            <w:sz w:val="26"/>
            <w:szCs w:val="26"/>
          </w:rPr>
          <w:t>Luật Bảo hiểm xã hội 2024</w:t>
        </w:r>
      </w:hyperlink>
      <w:r w:rsidRPr="00BF10E2">
        <w:rPr>
          <w:sz w:val="26"/>
          <w:szCs w:val="26"/>
        </w:rPr>
        <w:t> đã chính thức bổ sung quyền thụ hưởng chế độ ốm đau, thai sản đối với người hoạt động không chuyên trách ở cấp xã thay vì chỉ hưởng hai chế độ là hưu trí và tử tuất như Luật hiện hành.</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5. Bổ sung chế độ trợ cấp hằng tháng đối với người lao động không đủ điều kiện hưởng lương hưu và chưa đủ tuổi hưởng trợ cấp hưu trí xã hội.</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Theo đó, công dân Việt Nam đủ tuổi nghỉ hưu nhưng không đủ thời gian đóng để hưởng lương hưu (chưa đủ 15 năm đóng) và chưa tuổi hưởng trợ cấp hưu trí xã hội (chưa đủ 75 tuổi) nếu không hưởng BHXH một lần và không bảo lưu mà có yêu cầu thì được hưởng trợ cấp hằng tháng từ chính khoản đóng của mình. Trong thời gian hưởng trợ cấp hằng tháng thì được ngân sách nhà nước đóng BHYT.</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6. Giảm độ tuổi được hưởng trợ cấp hưu trí xã hội</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Trợ cấp hưu trí xã hội theo quy định của </w:t>
      </w:r>
      <w:hyperlink r:id="rId13" w:tgtFrame="_blank" w:history="1">
        <w:r w:rsidRPr="00BF10E2">
          <w:rPr>
            <w:rStyle w:val="Hyperlink"/>
            <w:color w:val="auto"/>
            <w:sz w:val="26"/>
            <w:szCs w:val="26"/>
          </w:rPr>
          <w:t>Luật Bảo hiểm xã hội 2024</w:t>
        </w:r>
      </w:hyperlink>
      <w:r w:rsidRPr="00BF10E2">
        <w:rPr>
          <w:sz w:val="26"/>
          <w:szCs w:val="26"/>
        </w:rPr>
        <w:t xml:space="preserve"> là loại hình BHXH do ngân sách nhà nước bảo đảm, được xây dựng trên cơ sở kế thừa và phát triển một phần từ quy định về trợ cấp xã hội hằng tháng đối với người cao tuổi không có lương hưu, trợ </w:t>
      </w:r>
      <w:r w:rsidRPr="00BF10E2">
        <w:rPr>
          <w:sz w:val="26"/>
          <w:szCs w:val="26"/>
        </w:rPr>
        <w:lastRenderedPageBreak/>
        <w:t>cấp BHXH hằng tháng, trong đó giảm độ tuổi được hưởng trợ cấp hưu trí xã hội xuống 75 tuổi (hiện hành là 80 tuổi).</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Riêng đối với người thuộc hộ nghèo, hộ cận nghèo thì từ đủ 70 tuổi đến dưới 75 tuổi được hưởng trợ cấp hưu trí xã hội.</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7. Khuyến khích người lao động bảo lưu thời gian đóng để hưởng lương hưu thay vì nhận BHXH một lần</w:t>
      </w:r>
    </w:p>
    <w:p w:rsidR="00BF10E2" w:rsidRPr="00BF10E2" w:rsidRDefault="00BF10E2" w:rsidP="00BF10E2">
      <w:pPr>
        <w:pStyle w:val="NormalWeb"/>
        <w:shd w:val="clear" w:color="auto" w:fill="FFFFFF"/>
        <w:spacing w:before="0" w:beforeAutospacing="0" w:after="150" w:afterAutospacing="0"/>
        <w:jc w:val="both"/>
        <w:rPr>
          <w:sz w:val="26"/>
          <w:szCs w:val="26"/>
        </w:rPr>
      </w:pPr>
      <w:hyperlink r:id="rId14" w:tgtFrame="_blank" w:history="1">
        <w:r w:rsidRPr="00BF10E2">
          <w:rPr>
            <w:rStyle w:val="Hyperlink"/>
            <w:color w:val="auto"/>
            <w:sz w:val="26"/>
            <w:szCs w:val="26"/>
          </w:rPr>
          <w:t>Luật Bảo hiểm xã hội 2024</w:t>
        </w:r>
      </w:hyperlink>
      <w:r w:rsidRPr="00BF10E2">
        <w:rPr>
          <w:sz w:val="26"/>
          <w:szCs w:val="26"/>
        </w:rPr>
        <w:t> bổ sung quy định nhằm gia tăng quyền lợi, tăng tính hấp dẫn, khuyến khích người lao động bảo lưu thời gian đóng để hưởng lương hưu thay vì nhận BHXH một lần.</w:t>
      </w:r>
    </w:p>
    <w:p w:rsidR="00BF10E2" w:rsidRPr="00BF10E2" w:rsidRDefault="00BF10E2" w:rsidP="00BF10E2">
      <w:pPr>
        <w:pStyle w:val="NormalWeb"/>
        <w:shd w:val="clear" w:color="auto" w:fill="FFFFFF"/>
        <w:spacing w:before="0" w:beforeAutospacing="0" w:after="150" w:afterAutospacing="0"/>
        <w:jc w:val="both"/>
        <w:rPr>
          <w:sz w:val="26"/>
          <w:szCs w:val="26"/>
        </w:rPr>
      </w:pPr>
      <w:hyperlink r:id="rId15" w:tgtFrame="_blank" w:history="1">
        <w:r w:rsidRPr="00BF10E2">
          <w:rPr>
            <w:rStyle w:val="Hyperlink"/>
            <w:color w:val="auto"/>
            <w:sz w:val="26"/>
            <w:szCs w:val="26"/>
          </w:rPr>
          <w:t>Luật Bảo hiểm xã hội 2024</w:t>
        </w:r>
      </w:hyperlink>
      <w:r w:rsidRPr="00BF10E2">
        <w:rPr>
          <w:sz w:val="26"/>
          <w:szCs w:val="26"/>
        </w:rPr>
        <w:t> đã có nhiều sửa đổi, bổ sung theo hướng gia tăng quyền lợi, tăng tính hấp dẫn, khuyến khích người lao động bảo lưu thời gian đóng để hưởng lương hưu thay vì nhận BHXH một lần. Người lao động đã chấm dứt tham gia BHXH mà có đề nghị thì hưởng BHXH một lần nếu thuộc một trong các trường hợp sau đây:</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 Đủ tuổi hưởng lương hưu mà chưa đủ 15 năm đóng BHXH;</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 Ra nước ngoài để định cư;</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 Người đang mắc một trong những bệnh ung thư, bại liệt, xơ gan mất bù, lao nặng, AIDS;</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 Người có mức suy giảm khả năng lao động từ 81% trở lên; người khuyết tật đặc biệt nặng;</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 Người lao động có thời gian đóng BHXH trước ngày 1/7/2025, sau 12 tháng không thuộc đối tượng tham gia BHXH bắt buộc mà cũng không tham gia BHXH tự nguyện và có thời gian đóng BHXH chưa đủ 20 năm.</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Như vậy, đối với người bắt đầu tham gia BHXH từ ngày 1/7/2025 trở đi thì sẽ giải quyết BHXH một lần trong các trường hợp a, b, c và d nêu trên.</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Người lao động không hưởng BHXH một lần mà bảo lưu thời gian đóng để tiếp tục tham gia thì có cơ hội được thụ hưởng các quyền lợi cao hơn như: (i) Khi tiếp tục tham gia được hưởng các chế độ với mức hưởng cao hơn; (ii) Được hưởng lương hưu với điều kiện dễ dàng hơn; (iii) trong thời gian hưởng lương hưu được Quỹ BHXH đóng BHYT; (iv) Được hưởng trợ cấp hằng tháng khi không đủ điều kiện hưởng lương hưu và chưa đủ tuổi hưởng trợ cấp hưu trí xã hội; (v) trong thời gian hưởng trợ cấp hằng tháng thì được ngân sách Nhà nước đóng BHYT.</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8. Bảo đảm quyền tham gia và thụ hưởng BHXH với lao động Việt Nam đi làm việc ở nước ngoài và lao động nước ngoài vào làm việc tại Việt Nam</w:t>
      </w:r>
    </w:p>
    <w:p w:rsidR="00BF10E2" w:rsidRPr="00BF10E2" w:rsidRDefault="00BF10E2" w:rsidP="00BF10E2">
      <w:pPr>
        <w:pStyle w:val="NormalWeb"/>
        <w:shd w:val="clear" w:color="auto" w:fill="FFFFFF"/>
        <w:spacing w:before="0" w:beforeAutospacing="0" w:after="150" w:afterAutospacing="0"/>
        <w:jc w:val="both"/>
        <w:rPr>
          <w:sz w:val="26"/>
          <w:szCs w:val="26"/>
        </w:rPr>
      </w:pPr>
      <w:hyperlink r:id="rId16" w:tgtFrame="_blank" w:history="1">
        <w:r w:rsidRPr="00BF10E2">
          <w:rPr>
            <w:rStyle w:val="Hyperlink"/>
            <w:color w:val="auto"/>
            <w:sz w:val="26"/>
            <w:szCs w:val="26"/>
          </w:rPr>
          <w:t>Luật Bảo hiểm xã hội 2024</w:t>
        </w:r>
      </w:hyperlink>
      <w:r w:rsidRPr="00BF10E2">
        <w:rPr>
          <w:sz w:val="26"/>
          <w:szCs w:val="26"/>
        </w:rPr>
        <w:t xml:space="preserve"> bảo đảm tốt hơn quyền tham gia và thụ hưởng BHXH đối với người lao động Việt Nam đi làm việc ở nước ngoài và người lao động nước ngoài vào làm việc tại Việt Nam thông qua việc bổ sung quy định trường hợp điều ước quốc tế mà </w:t>
      </w:r>
      <w:r w:rsidRPr="00BF10E2">
        <w:rPr>
          <w:sz w:val="26"/>
          <w:szCs w:val="26"/>
        </w:rPr>
        <w:lastRenderedPageBreak/>
        <w:t>nước Cộng hòa xã hội chủ nghĩa Việt Nam là thành viên có quy định về thời gian tham gia BHXH của người lao động ở Việt Nam và ở nước ngoài được tính để xét điều kiện hưởng chế độ BHXH.</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9. Nâng cao hiệu quả đầu tư Quỹ BHXH</w:t>
      </w:r>
    </w:p>
    <w:p w:rsidR="00BF10E2" w:rsidRPr="00BF10E2" w:rsidRDefault="00BF10E2" w:rsidP="00BF10E2">
      <w:pPr>
        <w:pStyle w:val="NormalWeb"/>
        <w:shd w:val="clear" w:color="auto" w:fill="FFFFFF"/>
        <w:spacing w:before="0" w:beforeAutospacing="0" w:after="150" w:afterAutospacing="0"/>
        <w:jc w:val="both"/>
        <w:rPr>
          <w:sz w:val="26"/>
          <w:szCs w:val="26"/>
        </w:rPr>
      </w:pPr>
      <w:hyperlink r:id="rId17" w:tgtFrame="_blank" w:history="1">
        <w:r w:rsidRPr="00BF10E2">
          <w:rPr>
            <w:rStyle w:val="Hyperlink"/>
            <w:color w:val="auto"/>
            <w:sz w:val="26"/>
            <w:szCs w:val="26"/>
          </w:rPr>
          <w:t>Luật Bảo hiểm xã hội 2024</w:t>
        </w:r>
      </w:hyperlink>
      <w:r w:rsidRPr="00BF10E2">
        <w:rPr>
          <w:sz w:val="26"/>
          <w:szCs w:val="26"/>
        </w:rPr>
        <w:t> có quy định về nâng cao hiệu quả đầu tư Quỹ BHXH, tăng cường quản lý và nâng cao hiệu quả sử dụng Quỹ BHXH thông qua việc mở rộng danh mục và phương thức đầu tư Quỹ BHXH.</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10. Bổ sung quy định về bảo hiểm hưu trí bổ sung</w:t>
      </w:r>
    </w:p>
    <w:p w:rsidR="00BF10E2" w:rsidRPr="00BF10E2" w:rsidRDefault="00BF10E2" w:rsidP="00BF10E2">
      <w:pPr>
        <w:pStyle w:val="NormalWeb"/>
        <w:shd w:val="clear" w:color="auto" w:fill="FFFFFF"/>
        <w:spacing w:before="0" w:beforeAutospacing="0" w:after="150" w:afterAutospacing="0"/>
        <w:jc w:val="both"/>
        <w:rPr>
          <w:sz w:val="26"/>
          <w:szCs w:val="26"/>
        </w:rPr>
      </w:pPr>
      <w:hyperlink r:id="rId18" w:tgtFrame="_blank" w:history="1">
        <w:r w:rsidRPr="00BF10E2">
          <w:rPr>
            <w:rStyle w:val="Hyperlink"/>
            <w:color w:val="auto"/>
            <w:sz w:val="26"/>
            <w:szCs w:val="26"/>
          </w:rPr>
          <w:t>Luật Bảo hiểm xã hội 2024</w:t>
        </w:r>
      </w:hyperlink>
      <w:r w:rsidRPr="00BF10E2">
        <w:rPr>
          <w:sz w:val="26"/>
          <w:szCs w:val="26"/>
        </w:rPr>
        <w:t> bổ sung một chương quy định về bảo hiểm hưu trí bổ sung, trong đó quy định về đối tượng, nguyên tắc, Quỹ Bảo hiểm hưu trí bổ sung và chính sách của nhà nước đối với bảo hiểm hưu trí bổ sung, tạo điều kiện cho người sử dụng lao động và người lao động có thêm sự lựa chọn tham gia đóng góp để được hưởng mức lương hưu cao hơn.</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11. Quy định cụ thể về “mức tham chiếu” thay cho “mức lương cơ sở”</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Luật quy định “mức tham chiếu” dùng để tính mức đóng, mức hưởng một số chế độ BHXH; khi chưa bãi bỏ mức lương cơ sở thì mức tham chiếu bằng mức lương cơ sở.</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Mức tham chiếu được điều chỉnh trên cơ sở mức tăng của chỉ số giá tiêu dùng, tăng trưởng kinh tế, phù hợp với khả năng của ngân sách nhà nước và Quỹ BHXH.</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12. Quy định rõ về quản lý thu, đóng BHXH</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Tăng cường tính tuân thủ pháp luật, bảo vệ quyền, lợi ích hợp pháp của người lao động bằng việc dành riêng 1 chương để quy định về quản lý thu, đóng BHXH; làm rõ nội hàm và việc xử lý hành vi chậm đóng và hành vi trốn đóng BHXH.</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13. Quy định giao dịch điện tử trong lĩnh vực BHXH</w:t>
      </w:r>
    </w:p>
    <w:p w:rsidR="00BF10E2" w:rsidRPr="00BF10E2" w:rsidRDefault="00BF10E2" w:rsidP="00BF10E2">
      <w:pPr>
        <w:pStyle w:val="NormalWeb"/>
        <w:shd w:val="clear" w:color="auto" w:fill="FFFFFF"/>
        <w:spacing w:before="0" w:beforeAutospacing="0" w:after="150" w:afterAutospacing="0"/>
        <w:jc w:val="both"/>
        <w:rPr>
          <w:sz w:val="26"/>
          <w:szCs w:val="26"/>
        </w:rPr>
      </w:pPr>
      <w:hyperlink r:id="rId19" w:tgtFrame="_blank" w:history="1">
        <w:r w:rsidRPr="00BF10E2">
          <w:rPr>
            <w:rStyle w:val="Hyperlink"/>
            <w:color w:val="auto"/>
            <w:sz w:val="26"/>
            <w:szCs w:val="26"/>
          </w:rPr>
          <w:t>Luật Bảo hiểm xã hội 2024</w:t>
        </w:r>
      </w:hyperlink>
      <w:r w:rsidRPr="00BF10E2">
        <w:rPr>
          <w:sz w:val="26"/>
          <w:szCs w:val="26"/>
        </w:rPr>
        <w:t> tạo điều kiện thuận lợi cho người tham gia và thụ hưởng quyền lợi BHXH thông qua việc bổ sung quy định giao dịch điện tử trong lĩnh vực BHXH; điều chỉnh, cắt giảm, đơn giản hóa hồ sơ, thủ tục thực hiện BHXH.</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14. Dành riêng 01 chương để quy định quản lý thu, đóng bảo hiểm xã hội; làm rõ nội hàm và việc xử lý hành vi chậm đóng và hành vi trốn đóng.</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15. Bổ sung quy định về hợp tác quốc tế và quy định rõ hơn trách nhiệm quản lý nhà nước của Bộ Lao động - Thương binh và Xã hội, Bộ Tài chính</w:t>
      </w:r>
    </w:p>
    <w:p w:rsidR="00BF10E2" w:rsidRPr="00BF10E2" w:rsidRDefault="00BF10E2" w:rsidP="00BF10E2">
      <w:pPr>
        <w:pStyle w:val="Heading2"/>
        <w:shd w:val="clear" w:color="auto" w:fill="FFFFFF"/>
        <w:spacing w:before="300" w:beforeAutospacing="0" w:after="150" w:afterAutospacing="0"/>
        <w:jc w:val="both"/>
        <w:rPr>
          <w:b w:val="0"/>
          <w:bCs w:val="0"/>
          <w:sz w:val="26"/>
          <w:szCs w:val="26"/>
        </w:rPr>
      </w:pPr>
      <w:r w:rsidRPr="00BF10E2">
        <w:rPr>
          <w:rStyle w:val="Strong"/>
          <w:rFonts w:eastAsiaTheme="majorEastAsia"/>
          <w:b/>
          <w:bCs/>
          <w:sz w:val="26"/>
          <w:szCs w:val="26"/>
        </w:rPr>
        <w:t>Văn bản hướng dẫn Luật Bảo hiểm xã hội mới nhất</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Dưới đây là tổng hợp văn bản hướng dẫn Luật Bảo hiểm xã hội mới nhất.</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lastRenderedPageBreak/>
        <w:t>- </w:t>
      </w:r>
      <w:hyperlink r:id="rId20" w:tgtFrame="_blank" w:history="1">
        <w:r w:rsidRPr="00BF10E2">
          <w:rPr>
            <w:rStyle w:val="Hyperlink"/>
            <w:color w:val="auto"/>
            <w:sz w:val="26"/>
            <w:szCs w:val="26"/>
          </w:rPr>
          <w:t>Nghị định 197/2025/NĐ-CP</w:t>
        </w:r>
      </w:hyperlink>
      <w:r w:rsidRPr="00BF10E2">
        <w:rPr>
          <w:sz w:val="26"/>
          <w:szCs w:val="26"/>
        </w:rPr>
        <w:t> quy định trình tự, thủ tục thành lập, chế độ làm việc, trách nhiệm, kinh phí hoạt động và bộ máy giúp việc của Hội đồng quản lý bảo hiểm xã hội, có hiệu lực từ ngày 07/7/2025.</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 </w:t>
      </w:r>
      <w:hyperlink r:id="rId21" w:tgtFrame="_blank" w:history="1">
        <w:r w:rsidRPr="00BF10E2">
          <w:rPr>
            <w:rStyle w:val="Hyperlink"/>
            <w:color w:val="auto"/>
            <w:sz w:val="26"/>
            <w:szCs w:val="26"/>
          </w:rPr>
          <w:t>Thông tư 12/2025/TT-BNV</w:t>
        </w:r>
      </w:hyperlink>
      <w:r w:rsidRPr="00BF10E2">
        <w:rPr>
          <w:sz w:val="26"/>
          <w:szCs w:val="26"/>
        </w:rPr>
        <w:t> hướng dẫn Luật Bảo hiểm xã hội về bảo hiểm xã hội bắt buộc, có hiệu lực từ ngày 01/7/2025</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 </w:t>
      </w:r>
      <w:hyperlink r:id="rId22" w:tgtFrame="_blank" w:history="1">
        <w:r w:rsidRPr="00BF10E2">
          <w:rPr>
            <w:rStyle w:val="Hyperlink"/>
            <w:color w:val="auto"/>
            <w:sz w:val="26"/>
            <w:szCs w:val="26"/>
          </w:rPr>
          <w:t>Nghị định 176/2025/NĐ-CP</w:t>
        </w:r>
      </w:hyperlink>
      <w:r w:rsidRPr="00BF10E2">
        <w:rPr>
          <w:sz w:val="26"/>
          <w:szCs w:val="26"/>
        </w:rPr>
        <w:t> hướng dẫn Luật Bảo hiểm xã hội về trợ cấp hưu trí xã hội, có hiệu lực từ ngày 01/7/2025</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 </w:t>
      </w:r>
      <w:hyperlink r:id="rId23" w:tgtFrame="_blank" w:history="1">
        <w:r w:rsidRPr="00BF10E2">
          <w:rPr>
            <w:rStyle w:val="Hyperlink"/>
            <w:color w:val="auto"/>
            <w:sz w:val="26"/>
            <w:szCs w:val="26"/>
          </w:rPr>
          <w:t>Thông tư 11/2025/TT-BNV</w:t>
        </w:r>
      </w:hyperlink>
      <w:r w:rsidRPr="00BF10E2">
        <w:rPr>
          <w:sz w:val="26"/>
          <w:szCs w:val="26"/>
        </w:rPr>
        <w:t> hướng dẫn Luật Bảo hiểm xã hội về bảo hiểm xã hội tự nguyện, có hiệu lực từ ngày 01/7/2025</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 </w:t>
      </w:r>
      <w:hyperlink r:id="rId24" w:tgtFrame="_blank" w:history="1">
        <w:r w:rsidRPr="00BF10E2">
          <w:rPr>
            <w:rStyle w:val="Hyperlink"/>
            <w:color w:val="auto"/>
            <w:sz w:val="26"/>
            <w:szCs w:val="26"/>
          </w:rPr>
          <w:t>Thông tư 25/2025/TT-BYT</w:t>
        </w:r>
      </w:hyperlink>
      <w:r w:rsidRPr="00BF10E2">
        <w:rPr>
          <w:sz w:val="26"/>
          <w:szCs w:val="26"/>
        </w:rPr>
        <w:t> hướng dẫn Luật Bảo hiểm xã hội, Luật An toàn, vệ sinh lao động về lĩnh vực y tế và Luật Khám bệnh, chữa bệnh, có hiệu lực từ ngày 01/7/2025</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 </w:t>
      </w:r>
      <w:hyperlink r:id="rId25" w:tgtFrame="_blank" w:history="1">
        <w:r w:rsidRPr="00BF10E2">
          <w:rPr>
            <w:rStyle w:val="Hyperlink"/>
            <w:color w:val="auto"/>
            <w:sz w:val="26"/>
            <w:szCs w:val="26"/>
          </w:rPr>
          <w:t>Nghị định 164/2025/NĐ-CP</w:t>
        </w:r>
      </w:hyperlink>
      <w:r w:rsidRPr="00BF10E2">
        <w:rPr>
          <w:sz w:val="26"/>
          <w:szCs w:val="26"/>
        </w:rPr>
        <w:t> quy định về giao dịch điện tử trong lĩnh vực bảo hiểm xã hội và Cơ sở dữ liệu quốc gia về bảo hiểm, có hiệu lực từ ngày 01/7/2025</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 </w:t>
      </w:r>
      <w:hyperlink r:id="rId26" w:tgtFrame="_blank" w:history="1">
        <w:r w:rsidRPr="00BF10E2">
          <w:rPr>
            <w:rStyle w:val="Hyperlink"/>
            <w:color w:val="auto"/>
            <w:sz w:val="26"/>
            <w:szCs w:val="26"/>
          </w:rPr>
          <w:t>Nghị định 157/2025/NĐ-CP</w:t>
        </w:r>
      </w:hyperlink>
      <w:r w:rsidRPr="00BF10E2">
        <w:rPr>
          <w:sz w:val="26"/>
          <w:szCs w:val="26"/>
        </w:rPr>
        <w:t> hướng dẫn Luật Bảo hiểm xã hội về bảo hiểm xã hội bắt buộc đối với quân nhân, công an nhân dân, dân quân thường trực và người làm công tác cơ yếu hưởng lương như đối với quân nhân, có hiệu lực từ ngày 01/7/2025</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 </w:t>
      </w:r>
      <w:hyperlink r:id="rId27" w:tgtFrame="_blank" w:history="1">
        <w:r w:rsidRPr="00BF10E2">
          <w:rPr>
            <w:rStyle w:val="Hyperlink"/>
            <w:color w:val="auto"/>
            <w:sz w:val="26"/>
            <w:szCs w:val="26"/>
          </w:rPr>
          <w:t>Nghị định 158/2025/NĐ-CP</w:t>
        </w:r>
      </w:hyperlink>
      <w:r w:rsidRPr="00BF10E2">
        <w:rPr>
          <w:sz w:val="26"/>
          <w:szCs w:val="26"/>
        </w:rPr>
        <w:t> hướng dẫn Luật Bảo hiểm xã hội về bảo hiểm xã hội bắt buộc, có hiệu lực từ ngày 01/7/2025</w:t>
      </w:r>
    </w:p>
    <w:p w:rsidR="00BF10E2" w:rsidRPr="00BF10E2" w:rsidRDefault="00BF10E2" w:rsidP="00BF10E2">
      <w:pPr>
        <w:pStyle w:val="NormalWeb"/>
        <w:shd w:val="clear" w:color="auto" w:fill="FFFFFF"/>
        <w:spacing w:before="0" w:beforeAutospacing="0" w:after="150" w:afterAutospacing="0"/>
        <w:jc w:val="both"/>
        <w:rPr>
          <w:sz w:val="26"/>
          <w:szCs w:val="26"/>
        </w:rPr>
      </w:pPr>
      <w:r w:rsidRPr="00BF10E2">
        <w:rPr>
          <w:sz w:val="26"/>
          <w:szCs w:val="26"/>
        </w:rPr>
        <w:t>- </w:t>
      </w:r>
      <w:hyperlink r:id="rId28" w:tgtFrame="_blank" w:history="1">
        <w:r w:rsidRPr="00BF10E2">
          <w:rPr>
            <w:rStyle w:val="Hyperlink"/>
            <w:color w:val="auto"/>
            <w:sz w:val="26"/>
            <w:szCs w:val="26"/>
          </w:rPr>
          <w:t>Nghị định 159/2025/NĐ-CP</w:t>
        </w:r>
      </w:hyperlink>
      <w:r w:rsidRPr="00BF10E2">
        <w:rPr>
          <w:sz w:val="26"/>
          <w:szCs w:val="26"/>
        </w:rPr>
        <w:t> hướng dẫn Luật Bảo hiểm xã hội về bảo hiểm xã hội tự nguyện, có hiệu lực từ ngày 01/7/2025</w:t>
      </w:r>
    </w:p>
    <w:p w:rsidR="00FC4FFC" w:rsidRPr="00BF10E2" w:rsidRDefault="00FC4FFC" w:rsidP="00BF10E2">
      <w:pPr>
        <w:jc w:val="both"/>
        <w:rPr>
          <w:rFonts w:ascii="Times New Roman" w:hAnsi="Times New Roman" w:cs="Times New Roman"/>
          <w:sz w:val="26"/>
          <w:szCs w:val="26"/>
        </w:rPr>
      </w:pPr>
    </w:p>
    <w:sectPr w:rsidR="00FC4FFC" w:rsidRPr="00BF1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D3F49"/>
    <w:multiLevelType w:val="multilevel"/>
    <w:tmpl w:val="31CC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C21EAB"/>
    <w:multiLevelType w:val="multilevel"/>
    <w:tmpl w:val="87CE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E2"/>
    <w:rsid w:val="00BF10E2"/>
    <w:rsid w:val="00FC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1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F10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10E2"/>
    <w:rPr>
      <w:rFonts w:ascii="Times New Roman" w:eastAsia="Times New Roman" w:hAnsi="Times New Roman" w:cs="Times New Roman"/>
      <w:b/>
      <w:bCs/>
      <w:sz w:val="36"/>
      <w:szCs w:val="36"/>
    </w:rPr>
  </w:style>
  <w:style w:type="character" w:styleId="Strong">
    <w:name w:val="Strong"/>
    <w:basedOn w:val="DefaultParagraphFont"/>
    <w:uiPriority w:val="22"/>
    <w:qFormat/>
    <w:rsid w:val="00BF10E2"/>
    <w:rPr>
      <w:b/>
      <w:bCs/>
    </w:rPr>
  </w:style>
  <w:style w:type="paragraph" w:styleId="NormalWeb">
    <w:name w:val="Normal (Web)"/>
    <w:basedOn w:val="Normal"/>
    <w:uiPriority w:val="99"/>
    <w:unhideWhenUsed/>
    <w:rsid w:val="00BF10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10E2"/>
    <w:rPr>
      <w:color w:val="0000FF"/>
      <w:u w:val="single"/>
    </w:rPr>
  </w:style>
  <w:style w:type="character" w:customStyle="1" w:styleId="Heading1Char">
    <w:name w:val="Heading 1 Char"/>
    <w:basedOn w:val="DefaultParagraphFont"/>
    <w:link w:val="Heading1"/>
    <w:uiPriority w:val="9"/>
    <w:rsid w:val="00BF10E2"/>
    <w:rPr>
      <w:rFonts w:asciiTheme="majorHAnsi" w:eastAsiaTheme="majorEastAsia" w:hAnsiTheme="majorHAnsi" w:cstheme="majorBidi"/>
      <w:b/>
      <w:bCs/>
      <w:color w:val="365F91" w:themeColor="accent1" w:themeShade="BF"/>
      <w:sz w:val="28"/>
      <w:szCs w:val="28"/>
    </w:rPr>
  </w:style>
  <w:style w:type="character" w:customStyle="1" w:styleId="spanday">
    <w:name w:val="spanday"/>
    <w:basedOn w:val="DefaultParagraphFont"/>
    <w:rsid w:val="00BF10E2"/>
  </w:style>
  <w:style w:type="character" w:customStyle="1" w:styleId="toctext">
    <w:name w:val="toctext"/>
    <w:basedOn w:val="DefaultParagraphFont"/>
    <w:rsid w:val="00BF10E2"/>
  </w:style>
  <w:style w:type="character" w:styleId="Emphasis">
    <w:name w:val="Emphasis"/>
    <w:basedOn w:val="DefaultParagraphFont"/>
    <w:uiPriority w:val="20"/>
    <w:qFormat/>
    <w:rsid w:val="00BF10E2"/>
    <w:rPr>
      <w:i/>
      <w:iCs/>
    </w:rPr>
  </w:style>
  <w:style w:type="paragraph" w:styleId="BalloonText">
    <w:name w:val="Balloon Text"/>
    <w:basedOn w:val="Normal"/>
    <w:link w:val="BalloonTextChar"/>
    <w:uiPriority w:val="99"/>
    <w:semiHidden/>
    <w:unhideWhenUsed/>
    <w:rsid w:val="00BF1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0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1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F10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10E2"/>
    <w:rPr>
      <w:rFonts w:ascii="Times New Roman" w:eastAsia="Times New Roman" w:hAnsi="Times New Roman" w:cs="Times New Roman"/>
      <w:b/>
      <w:bCs/>
      <w:sz w:val="36"/>
      <w:szCs w:val="36"/>
    </w:rPr>
  </w:style>
  <w:style w:type="character" w:styleId="Strong">
    <w:name w:val="Strong"/>
    <w:basedOn w:val="DefaultParagraphFont"/>
    <w:uiPriority w:val="22"/>
    <w:qFormat/>
    <w:rsid w:val="00BF10E2"/>
    <w:rPr>
      <w:b/>
      <w:bCs/>
    </w:rPr>
  </w:style>
  <w:style w:type="paragraph" w:styleId="NormalWeb">
    <w:name w:val="Normal (Web)"/>
    <w:basedOn w:val="Normal"/>
    <w:uiPriority w:val="99"/>
    <w:unhideWhenUsed/>
    <w:rsid w:val="00BF10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10E2"/>
    <w:rPr>
      <w:color w:val="0000FF"/>
      <w:u w:val="single"/>
    </w:rPr>
  </w:style>
  <w:style w:type="character" w:customStyle="1" w:styleId="Heading1Char">
    <w:name w:val="Heading 1 Char"/>
    <w:basedOn w:val="DefaultParagraphFont"/>
    <w:link w:val="Heading1"/>
    <w:uiPriority w:val="9"/>
    <w:rsid w:val="00BF10E2"/>
    <w:rPr>
      <w:rFonts w:asciiTheme="majorHAnsi" w:eastAsiaTheme="majorEastAsia" w:hAnsiTheme="majorHAnsi" w:cstheme="majorBidi"/>
      <w:b/>
      <w:bCs/>
      <w:color w:val="365F91" w:themeColor="accent1" w:themeShade="BF"/>
      <w:sz w:val="28"/>
      <w:szCs w:val="28"/>
    </w:rPr>
  </w:style>
  <w:style w:type="character" w:customStyle="1" w:styleId="spanday">
    <w:name w:val="spanday"/>
    <w:basedOn w:val="DefaultParagraphFont"/>
    <w:rsid w:val="00BF10E2"/>
  </w:style>
  <w:style w:type="character" w:customStyle="1" w:styleId="toctext">
    <w:name w:val="toctext"/>
    <w:basedOn w:val="DefaultParagraphFont"/>
    <w:rsid w:val="00BF10E2"/>
  </w:style>
  <w:style w:type="character" w:styleId="Emphasis">
    <w:name w:val="Emphasis"/>
    <w:basedOn w:val="DefaultParagraphFont"/>
    <w:uiPriority w:val="20"/>
    <w:qFormat/>
    <w:rsid w:val="00BF10E2"/>
    <w:rPr>
      <w:i/>
      <w:iCs/>
    </w:rPr>
  </w:style>
  <w:style w:type="paragraph" w:styleId="BalloonText">
    <w:name w:val="Balloon Text"/>
    <w:basedOn w:val="Normal"/>
    <w:link w:val="BalloonTextChar"/>
    <w:uiPriority w:val="99"/>
    <w:semiHidden/>
    <w:unhideWhenUsed/>
    <w:rsid w:val="00BF1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0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939248">
      <w:bodyDiv w:val="1"/>
      <w:marLeft w:val="0"/>
      <w:marRight w:val="0"/>
      <w:marTop w:val="0"/>
      <w:marBottom w:val="0"/>
      <w:divBdr>
        <w:top w:val="none" w:sz="0" w:space="0" w:color="auto"/>
        <w:left w:val="none" w:sz="0" w:space="0" w:color="auto"/>
        <w:bottom w:val="none" w:sz="0" w:space="0" w:color="auto"/>
        <w:right w:val="none" w:sz="0" w:space="0" w:color="auto"/>
      </w:divBdr>
    </w:div>
    <w:div w:id="958336895">
      <w:bodyDiv w:val="1"/>
      <w:marLeft w:val="0"/>
      <w:marRight w:val="0"/>
      <w:marTop w:val="0"/>
      <w:marBottom w:val="0"/>
      <w:divBdr>
        <w:top w:val="none" w:sz="0" w:space="0" w:color="auto"/>
        <w:left w:val="none" w:sz="0" w:space="0" w:color="auto"/>
        <w:bottom w:val="none" w:sz="0" w:space="0" w:color="auto"/>
        <w:right w:val="none" w:sz="0" w:space="0" w:color="auto"/>
      </w:divBdr>
      <w:divsChild>
        <w:div w:id="1709798750">
          <w:marLeft w:val="0"/>
          <w:marRight w:val="0"/>
          <w:marTop w:val="0"/>
          <w:marBottom w:val="0"/>
          <w:divBdr>
            <w:top w:val="none" w:sz="0" w:space="0" w:color="auto"/>
            <w:left w:val="none" w:sz="0" w:space="0" w:color="auto"/>
            <w:bottom w:val="none" w:sz="0" w:space="0" w:color="auto"/>
            <w:right w:val="none" w:sz="0" w:space="0" w:color="auto"/>
          </w:divBdr>
          <w:divsChild>
            <w:div w:id="13363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7944">
      <w:bodyDiv w:val="1"/>
      <w:marLeft w:val="0"/>
      <w:marRight w:val="0"/>
      <w:marTop w:val="0"/>
      <w:marBottom w:val="0"/>
      <w:divBdr>
        <w:top w:val="none" w:sz="0" w:space="0" w:color="auto"/>
        <w:left w:val="none" w:sz="0" w:space="0" w:color="auto"/>
        <w:bottom w:val="none" w:sz="0" w:space="0" w:color="auto"/>
        <w:right w:val="none" w:sz="0" w:space="0" w:color="auto"/>
      </w:divBdr>
      <w:divsChild>
        <w:div w:id="1081947877">
          <w:marLeft w:val="0"/>
          <w:marRight w:val="0"/>
          <w:marTop w:val="0"/>
          <w:marBottom w:val="30"/>
          <w:divBdr>
            <w:top w:val="none" w:sz="0" w:space="0" w:color="auto"/>
            <w:left w:val="none" w:sz="0" w:space="0" w:color="auto"/>
            <w:bottom w:val="none" w:sz="0" w:space="0" w:color="auto"/>
            <w:right w:val="none" w:sz="0" w:space="0" w:color="auto"/>
          </w:divBdr>
        </w:div>
        <w:div w:id="272322360">
          <w:marLeft w:val="0"/>
          <w:marRight w:val="0"/>
          <w:marTop w:val="0"/>
          <w:marBottom w:val="0"/>
          <w:divBdr>
            <w:top w:val="none" w:sz="0" w:space="0" w:color="auto"/>
            <w:left w:val="none" w:sz="0" w:space="0" w:color="auto"/>
            <w:bottom w:val="none" w:sz="0" w:space="0" w:color="auto"/>
            <w:right w:val="none" w:sz="0" w:space="0" w:color="auto"/>
          </w:divBdr>
          <w:divsChild>
            <w:div w:id="1556431897">
              <w:marLeft w:val="0"/>
              <w:marRight w:val="0"/>
              <w:marTop w:val="0"/>
              <w:marBottom w:val="0"/>
              <w:divBdr>
                <w:top w:val="none" w:sz="0" w:space="0" w:color="auto"/>
                <w:left w:val="none" w:sz="0" w:space="0" w:color="auto"/>
                <w:bottom w:val="none" w:sz="0" w:space="0" w:color="auto"/>
                <w:right w:val="none" w:sz="0" w:space="0" w:color="auto"/>
              </w:divBdr>
              <w:divsChild>
                <w:div w:id="1897931757">
                  <w:marLeft w:val="0"/>
                  <w:marRight w:val="0"/>
                  <w:marTop w:val="0"/>
                  <w:marBottom w:val="0"/>
                  <w:divBdr>
                    <w:top w:val="none" w:sz="0" w:space="0" w:color="auto"/>
                    <w:left w:val="none" w:sz="0" w:space="0" w:color="auto"/>
                    <w:bottom w:val="none" w:sz="0" w:space="0" w:color="auto"/>
                    <w:right w:val="none" w:sz="0" w:space="0" w:color="auto"/>
                  </w:divBdr>
                  <w:divsChild>
                    <w:div w:id="381906837">
                      <w:marLeft w:val="0"/>
                      <w:marRight w:val="0"/>
                      <w:marTop w:val="0"/>
                      <w:marBottom w:val="0"/>
                      <w:divBdr>
                        <w:top w:val="none" w:sz="0" w:space="0" w:color="auto"/>
                        <w:left w:val="none" w:sz="0" w:space="0" w:color="auto"/>
                        <w:bottom w:val="none" w:sz="0" w:space="0" w:color="auto"/>
                        <w:right w:val="none" w:sz="0" w:space="0" w:color="auto"/>
                      </w:divBdr>
                      <w:divsChild>
                        <w:div w:id="355467988">
                          <w:marLeft w:val="0"/>
                          <w:marRight w:val="0"/>
                          <w:marTop w:val="0"/>
                          <w:marBottom w:val="0"/>
                          <w:divBdr>
                            <w:top w:val="none" w:sz="0" w:space="0" w:color="auto"/>
                            <w:left w:val="none" w:sz="0" w:space="0" w:color="auto"/>
                            <w:bottom w:val="none" w:sz="0" w:space="0" w:color="auto"/>
                            <w:right w:val="none" w:sz="0" w:space="0" w:color="auto"/>
                          </w:divBdr>
                        </w:div>
                      </w:divsChild>
                    </w:div>
                    <w:div w:id="794178951">
                      <w:marLeft w:val="0"/>
                      <w:marRight w:val="0"/>
                      <w:marTop w:val="150"/>
                      <w:marBottom w:val="150"/>
                      <w:divBdr>
                        <w:top w:val="none" w:sz="0" w:space="0" w:color="auto"/>
                        <w:left w:val="none" w:sz="0" w:space="0" w:color="auto"/>
                        <w:bottom w:val="none" w:sz="0" w:space="0" w:color="auto"/>
                        <w:right w:val="none" w:sz="0" w:space="0" w:color="auto"/>
                      </w:divBdr>
                      <w:divsChild>
                        <w:div w:id="712846487">
                          <w:marLeft w:val="0"/>
                          <w:marRight w:val="0"/>
                          <w:marTop w:val="0"/>
                          <w:marBottom w:val="180"/>
                          <w:divBdr>
                            <w:top w:val="none" w:sz="0" w:space="0" w:color="auto"/>
                            <w:left w:val="none" w:sz="0" w:space="0" w:color="auto"/>
                            <w:bottom w:val="none" w:sz="0" w:space="0" w:color="auto"/>
                            <w:right w:val="none" w:sz="0" w:space="0" w:color="auto"/>
                          </w:divBdr>
                          <w:divsChild>
                            <w:div w:id="292753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022170">
                      <w:marLeft w:val="0"/>
                      <w:marRight w:val="0"/>
                      <w:marTop w:val="0"/>
                      <w:marBottom w:val="0"/>
                      <w:divBdr>
                        <w:top w:val="none" w:sz="0" w:space="0" w:color="auto"/>
                        <w:left w:val="none" w:sz="0" w:space="0" w:color="auto"/>
                        <w:bottom w:val="none" w:sz="0" w:space="0" w:color="auto"/>
                        <w:right w:val="none" w:sz="0" w:space="0" w:color="auto"/>
                      </w:divBdr>
                      <w:divsChild>
                        <w:div w:id="279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o-hiem/Luat-Bao-hiem-xa-hoi-2024-557190.aspx" TargetMode="External"/><Relationship Id="rId13" Type="http://schemas.openxmlformats.org/officeDocument/2006/relationships/hyperlink" Target="https://thuvienphapluat.vn/van-ban/Bao-hiem/Luat-Bao-hiem-xa-hoi-2024-557190.aspx" TargetMode="External"/><Relationship Id="rId18" Type="http://schemas.openxmlformats.org/officeDocument/2006/relationships/hyperlink" Target="https://thuvienphapluat.vn/van-ban/Bao-hiem/Luat-Bao-hiem-xa-hoi-2024-557190.aspx" TargetMode="External"/><Relationship Id="rId26" Type="http://schemas.openxmlformats.org/officeDocument/2006/relationships/hyperlink" Target="https://thuvienphapluat.vn/van-ban/Bao-hiem/Nghi-dinh-157-2025-ND-CP-huong-dan-Luat-Bao-hiem-xa-hoi-ve-bao-hiem-xa-hoi-bat-buoc-quan-nhan-662578.aspx" TargetMode="External"/><Relationship Id="rId3" Type="http://schemas.microsoft.com/office/2007/relationships/stylesWithEffects" Target="stylesWithEffects.xml"/><Relationship Id="rId21" Type="http://schemas.openxmlformats.org/officeDocument/2006/relationships/hyperlink" Target="https://thuvienphapluat.vn/van-ban/Bao-hiem/Thong-tu-12-2025-TT-BNV-huong-dan-Luat-Bao-hiem-xa-hoi-ve-bao-hiem-xa-hoi-bat-buoc-634791.aspx" TargetMode="External"/><Relationship Id="rId7" Type="http://schemas.openxmlformats.org/officeDocument/2006/relationships/hyperlink" Target="https://thuvienphapluat.vn/van-ban/Bao-hiem/Luat-Bao-hiem-xa-hoi-2014-259700.aspx" TargetMode="External"/><Relationship Id="rId12" Type="http://schemas.openxmlformats.org/officeDocument/2006/relationships/hyperlink" Target="https://thuvienphapluat.vn/van-ban/Bao-hiem/Luat-Bao-hiem-xa-hoi-2024-557190.aspx" TargetMode="External"/><Relationship Id="rId17" Type="http://schemas.openxmlformats.org/officeDocument/2006/relationships/hyperlink" Target="https://thuvienphapluat.vn/van-ban/Bao-hiem/Luat-Bao-hiem-xa-hoi-2024-557190.aspx" TargetMode="External"/><Relationship Id="rId25" Type="http://schemas.openxmlformats.org/officeDocument/2006/relationships/hyperlink" Target="https://thuvienphapluat.vn/van-ban/Bao-hiem/Nghi-dinh-164-2025-ND-CP-giao-dich-dien-tu-trong-linh-vuc-bao-hiem-xa-hoi-663153.aspx" TargetMode="External"/><Relationship Id="rId2" Type="http://schemas.openxmlformats.org/officeDocument/2006/relationships/styles" Target="styles.xml"/><Relationship Id="rId16" Type="http://schemas.openxmlformats.org/officeDocument/2006/relationships/hyperlink" Target="https://thuvienphapluat.vn/van-ban/Bao-hiem/Luat-Bao-hiem-xa-hoi-2024-557190.aspx" TargetMode="External"/><Relationship Id="rId20" Type="http://schemas.openxmlformats.org/officeDocument/2006/relationships/hyperlink" Target="https://thuvienphapluat.vn/van-ban/Bao-hiem/Nghi-dinh-197-2025-ND-CP-thu-tuc-thanh-lap-bo-may-giup-viec-cua-Hoi-dong-quan-ly-bao-hiem-xa-hoi-664283.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vienphapluat.vn/van-ban/Bao-hiem/Luat-Bao-hiem-xa-hoi-2024-557190.aspx" TargetMode="External"/><Relationship Id="rId11" Type="http://schemas.openxmlformats.org/officeDocument/2006/relationships/hyperlink" Target="https://thuvienphapluat.vn/van-ban/Bao-hiem/Luat-Bao-hiem-xa-hoi-2024-557190.aspx" TargetMode="External"/><Relationship Id="rId24" Type="http://schemas.openxmlformats.org/officeDocument/2006/relationships/hyperlink" Target="https://thuvienphapluat.vn/van-ban/Bao-hiem/Thong-tu-25-2025-TT-BYT-huong-dan-Luat-bao-hiem-xa-hoi-linh-vuc-y-te-639240.aspx" TargetMode="External"/><Relationship Id="rId5" Type="http://schemas.openxmlformats.org/officeDocument/2006/relationships/webSettings" Target="webSettings.xml"/><Relationship Id="rId15" Type="http://schemas.openxmlformats.org/officeDocument/2006/relationships/hyperlink" Target="https://thuvienphapluat.vn/van-ban/Bao-hiem/Luat-Bao-hiem-xa-hoi-2024-557190.aspx" TargetMode="External"/><Relationship Id="rId23" Type="http://schemas.openxmlformats.org/officeDocument/2006/relationships/hyperlink" Target="https://thuvienphapluat.vn/van-ban/Bao-hiem/Thong-tu-11-2025-TT-BNV-huong-dan-Luat-Bao-hiem-xa-hoi-ve-bao-hiem-xa-hoi-tu-nguyen-663712.aspx" TargetMode="External"/><Relationship Id="rId28" Type="http://schemas.openxmlformats.org/officeDocument/2006/relationships/hyperlink" Target="https://thuvienphapluat.vn/van-ban/Bao-hiem/Nghi-dinh-159-2025-ND-CP-huong-dan-Luat-Bao-hiem-xa-hoi-ve-bao-hiem-xa-hoi-tu-nguyen-634788.aspx" TargetMode="External"/><Relationship Id="rId10" Type="http://schemas.openxmlformats.org/officeDocument/2006/relationships/hyperlink" Target="https://thuvienphapluat.vn/van-ban/Bao-hiem/Luat-Bao-hiem-xa-hoi-2024-557190.aspx" TargetMode="External"/><Relationship Id="rId19" Type="http://schemas.openxmlformats.org/officeDocument/2006/relationships/hyperlink" Target="https://thuvienphapluat.vn/van-ban/Bao-hiem/Luat-Bao-hiem-xa-hoi-2024-557190.aspx" TargetMode="External"/><Relationship Id="rId4" Type="http://schemas.openxmlformats.org/officeDocument/2006/relationships/settings" Target="settings.xml"/><Relationship Id="rId9" Type="http://schemas.openxmlformats.org/officeDocument/2006/relationships/hyperlink" Target="https://thuvienphapluat.vn/van-ban/Bao-hiem/Luat-Bao-hiem-xa-hoi-2024-557190.aspx" TargetMode="External"/><Relationship Id="rId14" Type="http://schemas.openxmlformats.org/officeDocument/2006/relationships/hyperlink" Target="https://thuvienphapluat.vn/van-ban/Bao-hiem/Luat-Bao-hiem-xa-hoi-2024-557190.aspx" TargetMode="External"/><Relationship Id="rId22" Type="http://schemas.openxmlformats.org/officeDocument/2006/relationships/hyperlink" Target="https://thuvienphapluat.vn/van-ban/Bao-hiem/Nghi-dinh-176-2025-ND-CP-huong-dan-Luat-Bao-hiem-xa-hoi-ve-tro-cap-huu-tri-xa-hoi-641047.aspx" TargetMode="External"/><Relationship Id="rId27" Type="http://schemas.openxmlformats.org/officeDocument/2006/relationships/hyperlink" Target="https://thuvienphapluat.vn/van-ban/Bao-hiem/Nghi-dinh-158-2025-ND-CP-huong-dan-Luat-Bao-hiem-xa-hoi-ve-bao-hiem-xa-hoi-bat-buoc-634792.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1</cp:revision>
  <dcterms:created xsi:type="dcterms:W3CDTF">2025-08-31T17:04:00Z</dcterms:created>
  <dcterms:modified xsi:type="dcterms:W3CDTF">2025-08-31T17:09:00Z</dcterms:modified>
</cp:coreProperties>
</file>