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322F" w14:textId="648933B5" w:rsidR="00A80D1F" w:rsidRDefault="00E832A1" w:rsidP="00A8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TỔNG QUAN VỀ KIỂM TOÁN NỘI BỘ TRONG DOANH NGHIỆP</w:t>
      </w:r>
    </w:p>
    <w:p w14:paraId="783C1ED5" w14:textId="45A066DE" w:rsidR="00E832A1" w:rsidRDefault="00E832A1" w:rsidP="00A8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VAI TRÒ, THÁCH THỨC VÀ ĐỊNH HƯỚNG PHÁT TRIỂN</w:t>
      </w:r>
    </w:p>
    <w:p w14:paraId="55287509" w14:textId="7B173D87" w:rsidR="00A80D1F" w:rsidRPr="00E832A1" w:rsidRDefault="00A80D1F" w:rsidP="00A80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Nguyễn Thị Khánh Vân – Khoa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Duy Tân</w:t>
      </w:r>
    </w:p>
    <w:p w14:paraId="3577D21B" w14:textId="04BF5A51" w:rsidR="00E832A1" w:rsidRPr="00E832A1" w:rsidRDefault="00E832A1" w:rsidP="00A8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Tóm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tắt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8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(KTNB)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then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bạch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khái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KTNB,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KTNB,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bối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2C0B6" w14:textId="77777777" w:rsidR="00E832A1" w:rsidRPr="00E832A1" w:rsidRDefault="00E832A1" w:rsidP="00A80D1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tạp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niêm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yết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buộc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mực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ty.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Việt Nam, KTNB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song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trống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85EB08" w14:textId="7D8740D9" w:rsidR="00E832A1" w:rsidRDefault="00E832A1" w:rsidP="00E83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Khái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niệm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trò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bộ</w:t>
      </w:r>
      <w:proofErr w:type="spellEnd"/>
    </w:p>
    <w:p w14:paraId="4B9656B1" w14:textId="77777777" w:rsidR="00E832A1" w:rsidRPr="00E832A1" w:rsidRDefault="00E832A1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sz w:val="24"/>
          <w:szCs w:val="24"/>
        </w:rPr>
        <w:t>Theo đ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ịnh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Viện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(IIA),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. KTNB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A8EDF9" w14:textId="77777777" w:rsidR="00A80D1F" w:rsidRPr="00A80D1F" w:rsidRDefault="00A80D1F" w:rsidP="00A80D1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bối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tạp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(KTNB)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gác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cổng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. KTNB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sót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lận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E6218" w14:textId="77777777" w:rsidR="00A80D1F" w:rsidRPr="00A80D1F" w:rsidRDefault="00A80D1F" w:rsidP="00A80D1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KTNB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củng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đắn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tiềm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ẩn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KTNB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thiểu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tổn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thất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ngăn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ngừa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bạch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5F721" w14:textId="77777777" w:rsidR="00A80D1F" w:rsidRPr="00A80D1F" w:rsidRDefault="00A80D1F" w:rsidP="00A80D1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KTNB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. Thông qua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KTNB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cái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A6809C" w14:textId="77777777" w:rsidR="00A80D1F" w:rsidRPr="00A80D1F" w:rsidRDefault="00A80D1F" w:rsidP="00A80D1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dừng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”, KTNB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. Trong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KTNB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lastRenderedPageBreak/>
        <w:t>đảm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dắt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liêm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D1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80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9512C3" w14:textId="34F80E7C" w:rsidR="00E832A1" w:rsidRPr="00E832A1" w:rsidRDefault="00E832A1" w:rsidP="00E83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Thực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trạng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triển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khai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KTNB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tại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nghiệp</w:t>
      </w:r>
      <w:proofErr w:type="spellEnd"/>
    </w:p>
    <w:p w14:paraId="5C3F76CF" w14:textId="18376B92" w:rsidR="00B76076" w:rsidRPr="00B76076" w:rsidRDefault="00B76076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thập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qua,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Việt Nam,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bối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xu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Tuy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tồn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BDD937" w14:textId="77777777" w:rsidR="00B76076" w:rsidRPr="00B76076" w:rsidRDefault="00B76076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lang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05/2019/NĐ-CP –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niêm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yết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Song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Tài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Việt Nam,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tảng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2C9AD" w14:textId="77777777" w:rsidR="00B76076" w:rsidRPr="00B76076" w:rsidRDefault="00B76076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Tuy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thậm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đắn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buộc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lỗi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sớm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3FE29D" w14:textId="77777777" w:rsidR="00B76076" w:rsidRPr="00B76076" w:rsidRDefault="00B76076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ý,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–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vắng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Nguyên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vắng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trống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tổn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bối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gay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gắt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58909" w14:textId="77777777" w:rsidR="00B76076" w:rsidRPr="00B76076" w:rsidRDefault="00B76076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hụt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IPPF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IIA)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C6FC9B" w14:textId="77777777" w:rsidR="00B76076" w:rsidRPr="00B76076" w:rsidRDefault="00B76076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Tuy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FDI,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chặt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chẽ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tiềm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mẽ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đắn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gắn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liền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59416" w14:textId="156D5E90" w:rsidR="00B76076" w:rsidRPr="00B76076" w:rsidRDefault="00B76076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Tóm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” sang “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07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7D2F61" w14:textId="0B02F1B5" w:rsidR="00E832A1" w:rsidRPr="00E832A1" w:rsidRDefault="00E832A1" w:rsidP="00E83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Định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hướng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nâng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cao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hiệu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quả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KTNB</w:t>
      </w:r>
    </w:p>
    <w:p w14:paraId="2580DB47" w14:textId="181BA11F" w:rsidR="005C719D" w:rsidRDefault="005C719D" w:rsidP="005C719D">
      <w:pPr>
        <w:pStyle w:val="NormalWeb"/>
        <w:ind w:firstLine="720"/>
        <w:jc w:val="both"/>
      </w:pPr>
      <w:r>
        <w:lastRenderedPageBreak/>
        <w:t xml:space="preserve">Trong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 w:rsidRPr="005C719D">
        <w:rPr>
          <w:rStyle w:val="Strong"/>
          <w:b w:val="0"/>
          <w:bCs w:val="0"/>
        </w:rPr>
        <w:t>nâng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cao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hiệu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quả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hoạt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động</w:t>
      </w:r>
      <w:proofErr w:type="spellEnd"/>
      <w:r w:rsidRPr="005C719D">
        <w:rPr>
          <w:rStyle w:val="Strong"/>
          <w:b w:val="0"/>
          <w:bCs w:val="0"/>
        </w:rPr>
        <w:t xml:space="preserve"> KTNB</w:t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xu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KTNB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hay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tạo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giá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trị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gia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tăng</w:t>
      </w:r>
      <w:proofErr w:type="spellEnd"/>
      <w:r w:rsidRPr="005C719D">
        <w:rPr>
          <w:rStyle w:val="Strong"/>
          <w:b w:val="0"/>
          <w:bCs w:val="0"/>
        </w:rPr>
        <w:t xml:space="preserve">, </w:t>
      </w:r>
      <w:proofErr w:type="spellStart"/>
      <w:r w:rsidRPr="005C719D">
        <w:rPr>
          <w:rStyle w:val="Strong"/>
          <w:b w:val="0"/>
          <w:bCs w:val="0"/>
        </w:rPr>
        <w:t>hỗ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trợ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quản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trị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rủi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ro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và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nâng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cao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năng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lực</w:t>
      </w:r>
      <w:proofErr w:type="spellEnd"/>
      <w:r w:rsidRPr="005C719D">
        <w:rPr>
          <w:rStyle w:val="Strong"/>
          <w:b w:val="0"/>
          <w:bCs w:val="0"/>
        </w:rPr>
        <w:t xml:space="preserve"> ra </w:t>
      </w:r>
      <w:proofErr w:type="spellStart"/>
      <w:r w:rsidRPr="005C719D">
        <w:rPr>
          <w:rStyle w:val="Strong"/>
          <w:b w:val="0"/>
          <w:bCs w:val="0"/>
        </w:rPr>
        <w:t>quyết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định</w:t>
      </w:r>
      <w:proofErr w:type="spellEnd"/>
      <w:r w:rsidRPr="005C719D">
        <w:rPr>
          <w:b/>
          <w:bCs/>
        </w:rPr>
        <w:t>.</w:t>
      </w:r>
    </w:p>
    <w:p w14:paraId="5B68F494" w14:textId="1B8307EF" w:rsidR="005C719D" w:rsidRDefault="005C719D" w:rsidP="005C719D">
      <w:pPr>
        <w:pStyle w:val="Heading4"/>
      </w:pPr>
      <w:proofErr w:type="spellStart"/>
      <w:r>
        <w:rPr>
          <w:rStyle w:val="Strong"/>
          <w:b w:val="0"/>
          <w:bCs w:val="0"/>
        </w:rPr>
        <w:t>Xây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dựng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định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vị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chiến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lược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cho</w:t>
      </w:r>
      <w:proofErr w:type="spellEnd"/>
      <w:r>
        <w:rPr>
          <w:rStyle w:val="Strong"/>
          <w:b w:val="0"/>
          <w:bCs w:val="0"/>
        </w:rPr>
        <w:t xml:space="preserve"> KTNB </w:t>
      </w:r>
      <w:proofErr w:type="spellStart"/>
      <w:r>
        <w:rPr>
          <w:rStyle w:val="Strong"/>
          <w:b w:val="0"/>
          <w:bCs w:val="0"/>
        </w:rPr>
        <w:t>trong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hệ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thống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quản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trị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doanh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nghiệp</w:t>
      </w:r>
      <w:proofErr w:type="spellEnd"/>
    </w:p>
    <w:p w14:paraId="647BBE09" w14:textId="77777777" w:rsidR="005C719D" w:rsidRDefault="005C719D" w:rsidP="005C719D">
      <w:pPr>
        <w:pStyle w:val="NormalWeb"/>
        <w:ind w:firstLine="360"/>
      </w:pPr>
      <w:proofErr w:type="spellStart"/>
      <w:r>
        <w:t>Muốn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KTNB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–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đối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tác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chiến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lược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cần</w:t>
      </w:r>
      <w:proofErr w:type="spellEnd"/>
      <w:r>
        <w:t>:</w:t>
      </w:r>
    </w:p>
    <w:p w14:paraId="7A364B2A" w14:textId="77777777" w:rsidR="005C719D" w:rsidRDefault="005C719D" w:rsidP="005C719D">
      <w:pPr>
        <w:pStyle w:val="NormalWeb"/>
        <w:numPr>
          <w:ilvl w:val="0"/>
          <w:numId w:val="6"/>
        </w:numPr>
      </w:pP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mối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quan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hệ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trực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tiếp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KTNB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</w:t>
      </w:r>
    </w:p>
    <w:p w14:paraId="0FEE79AE" w14:textId="77777777" w:rsidR="005C719D" w:rsidRDefault="005C719D" w:rsidP="005C719D">
      <w:pPr>
        <w:pStyle w:val="NormalWeb"/>
        <w:numPr>
          <w:ilvl w:val="0"/>
          <w:numId w:val="6"/>
        </w:numPr>
      </w:pPr>
      <w:r>
        <w:t xml:space="preserve">Tái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KTNB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r w:rsidRPr="005C719D">
        <w:rPr>
          <w:rStyle w:val="Strong"/>
          <w:b w:val="0"/>
          <w:bCs w:val="0"/>
        </w:rPr>
        <w:t>risk-based audit</w:t>
      </w:r>
      <w:r>
        <w:t xml:space="preserve"> (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),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.</w:t>
      </w:r>
    </w:p>
    <w:p w14:paraId="4ABEBF95" w14:textId="5178F054" w:rsidR="005C719D" w:rsidRDefault="005C719D" w:rsidP="005C719D">
      <w:pPr>
        <w:pStyle w:val="Heading4"/>
      </w:pPr>
      <w:proofErr w:type="spellStart"/>
      <w:r>
        <w:rPr>
          <w:rStyle w:val="Strong"/>
          <w:b w:val="0"/>
          <w:bCs w:val="0"/>
        </w:rPr>
        <w:t>Đầu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tư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phát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triển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nguồn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nhân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lực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kiểm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toán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nội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bộ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chất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lượng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cao</w:t>
      </w:r>
      <w:proofErr w:type="spellEnd"/>
    </w:p>
    <w:p w14:paraId="12C899E3" w14:textId="77777777" w:rsidR="005C719D" w:rsidRDefault="005C719D" w:rsidP="005C719D">
      <w:pPr>
        <w:pStyle w:val="NormalWeb"/>
        <w:ind w:firstLine="360"/>
      </w:pP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lõi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KTNB.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>:</w:t>
      </w:r>
    </w:p>
    <w:p w14:paraId="34C45C60" w14:textId="77777777" w:rsidR="005C719D" w:rsidRDefault="005C719D" w:rsidP="005C719D">
      <w:pPr>
        <w:pStyle w:val="NormalWeb"/>
        <w:numPr>
          <w:ilvl w:val="0"/>
          <w:numId w:val="7"/>
        </w:numPr>
      </w:pP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chuẩn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mực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quốc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tế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IPPF (International Professional Practices Framework).</w:t>
      </w:r>
    </w:p>
    <w:p w14:paraId="6C18B094" w14:textId="77777777" w:rsidR="005C719D" w:rsidRDefault="005C719D" w:rsidP="005C719D">
      <w:pPr>
        <w:pStyle w:val="NormalWeb"/>
        <w:numPr>
          <w:ilvl w:val="0"/>
          <w:numId w:val="7"/>
        </w:numPr>
      </w:pP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KTNB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>” sang “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>”.</w:t>
      </w:r>
    </w:p>
    <w:p w14:paraId="0A3B1894" w14:textId="0B86EFF3" w:rsidR="005C719D" w:rsidRDefault="005C719D" w:rsidP="005C719D">
      <w:pPr>
        <w:pStyle w:val="Heading4"/>
      </w:pPr>
      <w:r>
        <w:t xml:space="preserve"> </w:t>
      </w:r>
      <w:proofErr w:type="spellStart"/>
      <w:r>
        <w:rPr>
          <w:rStyle w:val="Strong"/>
          <w:b w:val="0"/>
          <w:bCs w:val="0"/>
        </w:rPr>
        <w:t>Ứng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dụng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công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nghệ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và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phân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tích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dữ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liệu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trong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hoạt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động</w:t>
      </w:r>
      <w:proofErr w:type="spellEnd"/>
      <w:r>
        <w:rPr>
          <w:rStyle w:val="Strong"/>
          <w:b w:val="0"/>
          <w:bCs w:val="0"/>
        </w:rPr>
        <w:t xml:space="preserve"> KTNB</w:t>
      </w:r>
    </w:p>
    <w:p w14:paraId="182A8E28" w14:textId="77777777" w:rsidR="005C719D" w:rsidRDefault="005C719D" w:rsidP="005C719D">
      <w:pPr>
        <w:pStyle w:val="NormalWeb"/>
        <w:ind w:firstLine="360"/>
      </w:pPr>
      <w:r>
        <w:t xml:space="preserve">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KTNB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. Doanh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nên</w:t>
      </w:r>
      <w:proofErr w:type="spellEnd"/>
      <w:r>
        <w:t>:</w:t>
      </w:r>
    </w:p>
    <w:p w14:paraId="339C4456" w14:textId="77777777" w:rsidR="005C719D" w:rsidRDefault="005C719D" w:rsidP="005C719D">
      <w:pPr>
        <w:pStyle w:val="NormalWeb"/>
        <w:numPr>
          <w:ilvl w:val="0"/>
          <w:numId w:val="8"/>
        </w:numPr>
      </w:pP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kiểm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toán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số</w:t>
      </w:r>
      <w:proofErr w:type="spellEnd"/>
      <w:r w:rsidRPr="005C719D">
        <w:rPr>
          <w:rStyle w:val="Strong"/>
          <w:b w:val="0"/>
          <w:bCs w:val="0"/>
        </w:rPr>
        <w:t xml:space="preserve"> (digital audit tools)</w:t>
      </w:r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phân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tích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dữ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liệu</w:t>
      </w:r>
      <w:proofErr w:type="spellEnd"/>
      <w:r>
        <w:rPr>
          <w:rStyle w:val="Strong"/>
        </w:rPr>
        <w:t xml:space="preserve"> (data </w:t>
      </w:r>
      <w:r w:rsidRPr="005C719D">
        <w:rPr>
          <w:rStyle w:val="Strong"/>
          <w:b w:val="0"/>
          <w:bCs w:val="0"/>
        </w:rPr>
        <w:t>analytics)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ro.</w:t>
      </w:r>
    </w:p>
    <w:p w14:paraId="0CF66CBD" w14:textId="77777777" w:rsidR="005C719D" w:rsidRDefault="005C719D" w:rsidP="005C719D">
      <w:pPr>
        <w:pStyle w:val="NormalWeb"/>
        <w:numPr>
          <w:ilvl w:val="0"/>
          <w:numId w:val="8"/>
        </w:numPr>
      </w:pPr>
      <w:proofErr w:type="spellStart"/>
      <w:r>
        <w:t>Từng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trí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tuệ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nhân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tạo</w:t>
      </w:r>
      <w:proofErr w:type="spellEnd"/>
      <w:r w:rsidRPr="005C719D">
        <w:rPr>
          <w:rStyle w:val="Strong"/>
          <w:b w:val="0"/>
          <w:bCs w:val="0"/>
        </w:rPr>
        <w:t xml:space="preserve"> (AI)</w:t>
      </w:r>
      <w:r w:rsidRPr="005C719D">
        <w:rPr>
          <w:b/>
          <w:bCs/>
        </w:rPr>
        <w:t xml:space="preserve">, </w:t>
      </w:r>
      <w:r w:rsidRPr="005C719D">
        <w:rPr>
          <w:rStyle w:val="Strong"/>
          <w:b w:val="0"/>
          <w:bCs w:val="0"/>
        </w:rPr>
        <w:t>robotic process automation (RPA)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64B64BCD" w14:textId="7ECDF665" w:rsidR="005C719D" w:rsidRDefault="005C719D" w:rsidP="005C719D">
      <w:pPr>
        <w:pStyle w:val="Heading4"/>
      </w:pPr>
      <w:r>
        <w:t xml:space="preserve"> </w:t>
      </w:r>
      <w:proofErr w:type="spellStart"/>
      <w:r>
        <w:rPr>
          <w:rStyle w:val="Strong"/>
          <w:b w:val="0"/>
          <w:bCs w:val="0"/>
        </w:rPr>
        <w:t>Lồng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ghép</w:t>
      </w:r>
      <w:proofErr w:type="spellEnd"/>
      <w:r>
        <w:rPr>
          <w:rStyle w:val="Strong"/>
          <w:b w:val="0"/>
          <w:bCs w:val="0"/>
        </w:rPr>
        <w:t xml:space="preserve"> KTNB </w:t>
      </w:r>
      <w:proofErr w:type="spellStart"/>
      <w:r>
        <w:rPr>
          <w:rStyle w:val="Strong"/>
          <w:b w:val="0"/>
          <w:bCs w:val="0"/>
        </w:rPr>
        <w:t>vào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hệ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thống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quản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trị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rủi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ro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và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văn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hóa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doanh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nghiệp</w:t>
      </w:r>
      <w:proofErr w:type="spellEnd"/>
    </w:p>
    <w:p w14:paraId="4086D9B4" w14:textId="77777777" w:rsidR="005C719D" w:rsidRDefault="005C719D" w:rsidP="005C719D">
      <w:pPr>
        <w:pStyle w:val="NormalWeb"/>
        <w:ind w:firstLine="360"/>
      </w:pPr>
      <w:r>
        <w:t xml:space="preserve">Hiệu </w:t>
      </w:r>
      <w:proofErr w:type="spellStart"/>
      <w:r>
        <w:t>quả</w:t>
      </w:r>
      <w:proofErr w:type="spellEnd"/>
      <w:r>
        <w:t xml:space="preserve"> KTNB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toàn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bộ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hệ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sinh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thái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quản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:</w:t>
      </w:r>
    </w:p>
    <w:p w14:paraId="105AAD41" w14:textId="77777777" w:rsidR="005C719D" w:rsidRDefault="005C719D" w:rsidP="005C719D">
      <w:pPr>
        <w:pStyle w:val="NormalWeb"/>
        <w:numPr>
          <w:ilvl w:val="0"/>
          <w:numId w:val="9"/>
        </w:numPr>
      </w:pP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KTNB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chế</w:t>
      </w:r>
      <w:proofErr w:type="spellEnd"/>
      <w:r>
        <w:t>.</w:t>
      </w:r>
    </w:p>
    <w:p w14:paraId="01B54872" w14:textId="77777777" w:rsidR="005C719D" w:rsidRDefault="005C719D" w:rsidP="005C719D">
      <w:pPr>
        <w:pStyle w:val="NormalWeb"/>
        <w:numPr>
          <w:ilvl w:val="0"/>
          <w:numId w:val="9"/>
        </w:numPr>
      </w:pPr>
      <w:proofErr w:type="spellStart"/>
      <w:r>
        <w:lastRenderedPageBreak/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văn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hóa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minh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bạch</w:t>
      </w:r>
      <w:proofErr w:type="spellEnd"/>
      <w:r w:rsidRPr="005C719D">
        <w:rPr>
          <w:rStyle w:val="Strong"/>
          <w:b w:val="0"/>
          <w:bCs w:val="0"/>
        </w:rPr>
        <w:t xml:space="preserve">, </w:t>
      </w:r>
      <w:proofErr w:type="spellStart"/>
      <w:r w:rsidRPr="005C719D">
        <w:rPr>
          <w:rStyle w:val="Strong"/>
          <w:b w:val="0"/>
          <w:bCs w:val="0"/>
        </w:rPr>
        <w:t>chủ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động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phòng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ngừa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rủi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ro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KTNB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liêm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>.</w:t>
      </w:r>
    </w:p>
    <w:p w14:paraId="22A8E8E0" w14:textId="0D480705" w:rsidR="005C719D" w:rsidRDefault="005C719D" w:rsidP="005C719D">
      <w:pPr>
        <w:pStyle w:val="Heading4"/>
      </w:pPr>
      <w:proofErr w:type="spellStart"/>
      <w:r>
        <w:rPr>
          <w:rStyle w:val="Strong"/>
          <w:b w:val="0"/>
          <w:bCs w:val="0"/>
        </w:rPr>
        <w:t>Thiết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lập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cơ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chế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đánh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giá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hiệu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quả</w:t>
      </w:r>
      <w:proofErr w:type="spellEnd"/>
      <w:r>
        <w:rPr>
          <w:rStyle w:val="Strong"/>
          <w:b w:val="0"/>
          <w:bCs w:val="0"/>
        </w:rPr>
        <w:t xml:space="preserve"> KTNB </w:t>
      </w:r>
      <w:proofErr w:type="spellStart"/>
      <w:r>
        <w:rPr>
          <w:rStyle w:val="Strong"/>
          <w:b w:val="0"/>
          <w:bCs w:val="0"/>
        </w:rPr>
        <w:t>đa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chiều</w:t>
      </w:r>
      <w:proofErr w:type="spellEnd"/>
    </w:p>
    <w:p w14:paraId="44FA9A57" w14:textId="77777777" w:rsidR="005C719D" w:rsidRDefault="005C719D" w:rsidP="005C719D">
      <w:pPr>
        <w:pStyle w:val="NormalWeb"/>
        <w:ind w:firstLine="360"/>
      </w:pP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 w:rsidRPr="005C719D">
        <w:rPr>
          <w:rStyle w:val="Strong"/>
          <w:b w:val="0"/>
          <w:bCs w:val="0"/>
        </w:rPr>
        <w:t>các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chỉ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số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hiệu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quả</w:t>
      </w:r>
      <w:proofErr w:type="spellEnd"/>
      <w:r w:rsidRPr="005C719D">
        <w:rPr>
          <w:rStyle w:val="Strong"/>
          <w:b w:val="0"/>
          <w:bCs w:val="0"/>
        </w:rPr>
        <w:t xml:space="preserve"> (KPI) </w:t>
      </w:r>
      <w:proofErr w:type="spellStart"/>
      <w:r w:rsidRPr="005C719D">
        <w:rPr>
          <w:rStyle w:val="Strong"/>
          <w:b w:val="0"/>
          <w:bCs w:val="0"/>
        </w:rPr>
        <w:t>cụ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thể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và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đa</w:t>
      </w:r>
      <w:proofErr w:type="spellEnd"/>
      <w:r w:rsidRPr="005C719D">
        <w:rPr>
          <w:rStyle w:val="Strong"/>
          <w:b w:val="0"/>
          <w:bCs w:val="0"/>
        </w:rPr>
        <w:t xml:space="preserve"> </w:t>
      </w:r>
      <w:proofErr w:type="spellStart"/>
      <w:r w:rsidRPr="005C719D">
        <w:rPr>
          <w:rStyle w:val="Strong"/>
          <w:b w:val="0"/>
          <w:bCs w:val="0"/>
        </w:rPr>
        <w:t>chiều</w:t>
      </w:r>
      <w:proofErr w:type="spellEnd"/>
      <w:r>
        <w:t xml:space="preserve"> </w:t>
      </w:r>
      <w:proofErr w:type="spellStart"/>
      <w:r>
        <w:t>như</w:t>
      </w:r>
      <w:proofErr w:type="spellEnd"/>
      <w:r>
        <w:t>:</w:t>
      </w:r>
    </w:p>
    <w:p w14:paraId="5CFFD897" w14:textId="77777777" w:rsidR="005C719D" w:rsidRDefault="005C719D" w:rsidP="005C719D">
      <w:pPr>
        <w:pStyle w:val="NormalWeb"/>
        <w:numPr>
          <w:ilvl w:val="0"/>
          <w:numId w:val="10"/>
        </w:numPr>
      </w:pP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toán</w:t>
      </w:r>
      <w:proofErr w:type="spellEnd"/>
    </w:p>
    <w:p w14:paraId="5E2502A7" w14:textId="77777777" w:rsidR="005C719D" w:rsidRDefault="005C719D" w:rsidP="005C719D">
      <w:pPr>
        <w:pStyle w:val="NormalWeb"/>
        <w:numPr>
          <w:ilvl w:val="0"/>
          <w:numId w:val="10"/>
        </w:numPr>
      </w:pP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thất</w:t>
      </w:r>
      <w:proofErr w:type="spellEnd"/>
    </w:p>
    <w:p w14:paraId="4CE3ACCA" w14:textId="77777777" w:rsidR="005C719D" w:rsidRDefault="005C719D" w:rsidP="005C719D">
      <w:pPr>
        <w:pStyle w:val="NormalWeb"/>
        <w:numPr>
          <w:ilvl w:val="0"/>
          <w:numId w:val="10"/>
        </w:numPr>
      </w:pP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55689F58" w14:textId="77777777" w:rsidR="005C719D" w:rsidRDefault="005C719D" w:rsidP="005C719D">
      <w:pPr>
        <w:pStyle w:val="NormalWeb"/>
        <w:numPr>
          <w:ilvl w:val="0"/>
          <w:numId w:val="10"/>
        </w:numPr>
      </w:pP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KTNB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</w:p>
    <w:p w14:paraId="33ECF6E3" w14:textId="2812B4BA" w:rsidR="00E832A1" w:rsidRPr="00E832A1" w:rsidRDefault="00E832A1" w:rsidP="00E83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Kết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7"/>
          <w:szCs w:val="27"/>
        </w:rPr>
        <w:t>luận</w:t>
      </w:r>
      <w:proofErr w:type="spellEnd"/>
    </w:p>
    <w:p w14:paraId="24C82587" w14:textId="77777777" w:rsidR="00E832A1" w:rsidRPr="00E832A1" w:rsidRDefault="00E832A1" w:rsidP="005C71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bạch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. Tuy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KTNB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củng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KTNB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bền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5BD5B" w14:textId="77777777" w:rsidR="00E832A1" w:rsidRPr="00E832A1" w:rsidRDefault="00E832A1" w:rsidP="00E8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Tài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b/>
          <w:bCs/>
          <w:sz w:val="24"/>
          <w:szCs w:val="24"/>
        </w:rPr>
        <w:t>khảo</w:t>
      </w:r>
      <w:proofErr w:type="spellEnd"/>
    </w:p>
    <w:p w14:paraId="6EDE1B7B" w14:textId="77777777" w:rsidR="00E832A1" w:rsidRPr="00E832A1" w:rsidRDefault="00E832A1" w:rsidP="00E832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The Institute of Internal Auditors (2020). </w:t>
      </w:r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Professional Practices Framework (IPPF)</w:t>
      </w:r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12C34" w14:textId="77777777" w:rsidR="00E832A1" w:rsidRPr="00E832A1" w:rsidRDefault="00E832A1" w:rsidP="00E832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Nguyễn Văn Công (2023).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Việt Nam: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trạng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giải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pháp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Tạp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99DBB" w14:textId="77777777" w:rsidR="00E832A1" w:rsidRPr="00E832A1" w:rsidRDefault="00E832A1" w:rsidP="00E832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PwC Vietnam (2022). </w:t>
      </w:r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Internal audit trends in Vietnam: Challenges and opportunities</w:t>
      </w:r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4FCC7" w14:textId="77777777" w:rsidR="00E832A1" w:rsidRPr="00E832A1" w:rsidRDefault="00E832A1" w:rsidP="00E832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A1">
        <w:rPr>
          <w:rFonts w:ascii="Times New Roman" w:eastAsia="Times New Roman" w:hAnsi="Times New Roman" w:cs="Times New Roman"/>
          <w:sz w:val="24"/>
          <w:szCs w:val="24"/>
        </w:rPr>
        <w:t>Nguyễn Thị Hồng Nhung (2021). “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 xml:space="preserve"> ở Việt Nam”,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Tạp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Phát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triển</w:t>
      </w:r>
      <w:proofErr w:type="spellEnd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Kinh </w:t>
      </w:r>
      <w:proofErr w:type="spellStart"/>
      <w:r w:rsidRPr="00E832A1">
        <w:rPr>
          <w:rFonts w:ascii="Times New Roman" w:eastAsia="Times New Roman" w:hAnsi="Times New Roman" w:cs="Times New Roman"/>
          <w:i/>
          <w:iCs/>
          <w:sz w:val="24"/>
          <w:szCs w:val="24"/>
        </w:rPr>
        <w:t>tế</w:t>
      </w:r>
      <w:proofErr w:type="spellEnd"/>
      <w:r w:rsidRPr="00E8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03768F" w14:textId="77777777" w:rsidR="00FE59A1" w:rsidRDefault="00FE59A1"/>
    <w:sectPr w:rsidR="00FE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CC3"/>
    <w:multiLevelType w:val="multilevel"/>
    <w:tmpl w:val="44D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8036A"/>
    <w:multiLevelType w:val="multilevel"/>
    <w:tmpl w:val="4854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F286C"/>
    <w:multiLevelType w:val="multilevel"/>
    <w:tmpl w:val="CB6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3408C"/>
    <w:multiLevelType w:val="multilevel"/>
    <w:tmpl w:val="099E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124DE"/>
    <w:multiLevelType w:val="multilevel"/>
    <w:tmpl w:val="19EE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03D02"/>
    <w:multiLevelType w:val="multilevel"/>
    <w:tmpl w:val="8C9E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427CC"/>
    <w:multiLevelType w:val="multilevel"/>
    <w:tmpl w:val="DF2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9B597E"/>
    <w:multiLevelType w:val="multilevel"/>
    <w:tmpl w:val="DB20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8532C1"/>
    <w:multiLevelType w:val="multilevel"/>
    <w:tmpl w:val="810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173C6"/>
    <w:multiLevelType w:val="multilevel"/>
    <w:tmpl w:val="9CE8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yN7QwMDCxMDYztjBU0lEKTi0uzszPAykwqgUAy0HPFSwAAAA="/>
  </w:docVars>
  <w:rsids>
    <w:rsidRoot w:val="00E832A1"/>
    <w:rsid w:val="005C719D"/>
    <w:rsid w:val="00A80D1F"/>
    <w:rsid w:val="00B76076"/>
    <w:rsid w:val="00E832A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C307"/>
  <w15:chartTrackingRefBased/>
  <w15:docId w15:val="{7381EEBE-C94B-42FB-8E05-50B8BFD1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3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1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32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8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2A1"/>
    <w:rPr>
      <w:b/>
      <w:bCs/>
    </w:rPr>
  </w:style>
  <w:style w:type="character" w:styleId="Emphasis">
    <w:name w:val="Emphasis"/>
    <w:basedOn w:val="DefaultParagraphFont"/>
    <w:uiPriority w:val="20"/>
    <w:qFormat/>
    <w:rsid w:val="00E832A1"/>
    <w:rPr>
      <w:i/>
      <w:iCs/>
    </w:rPr>
  </w:style>
  <w:style w:type="paragraph" w:styleId="ListParagraph">
    <w:name w:val="List Paragraph"/>
    <w:basedOn w:val="Normal"/>
    <w:uiPriority w:val="34"/>
    <w:qFormat/>
    <w:rsid w:val="00A80D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9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2025-06-13T07:03:00Z</dcterms:created>
  <dcterms:modified xsi:type="dcterms:W3CDTF">2025-06-17T02:49:00Z</dcterms:modified>
</cp:coreProperties>
</file>