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74F9" w14:textId="165801D0" w:rsidR="00FB5F41" w:rsidRPr="00FB5F41" w:rsidRDefault="003D49E8" w:rsidP="003D49E8">
      <w:pPr>
        <w:shd w:val="clear" w:color="auto" w:fill="FFFFFF"/>
        <w:spacing w:after="0" w:line="312" w:lineRule="auto"/>
        <w:ind w:firstLine="426"/>
        <w:jc w:val="center"/>
        <w:outlineLvl w:val="0"/>
        <w:rPr>
          <w:rFonts w:asciiTheme="majorHAnsi" w:eastAsia="Times New Roman" w:hAnsiTheme="majorHAnsi" w:cstheme="majorHAnsi"/>
          <w:b/>
          <w:bCs/>
          <w:kern w:val="36"/>
          <w:sz w:val="22"/>
          <w:lang w:eastAsia="vi-VN"/>
        </w:rPr>
      </w:pPr>
      <w:r w:rsidRPr="00FB5F41">
        <w:rPr>
          <w:rFonts w:asciiTheme="majorHAnsi" w:eastAsia="Times New Roman" w:hAnsiTheme="majorHAnsi" w:cstheme="majorHAnsi"/>
          <w:b/>
          <w:bCs/>
          <w:kern w:val="36"/>
          <w:sz w:val="22"/>
          <w:lang w:eastAsia="vi-VN"/>
        </w:rPr>
        <w:t>MỘT SỐ LƯU Ý CHUNG VỀ HÓA ĐƠN ĐIỆN TỬ ĐỐI VỚI HỘ, CÁ NHÂN KINH DOANH</w:t>
      </w:r>
    </w:p>
    <w:p w14:paraId="027A7FFD" w14:textId="7B6CB629" w:rsidR="00BF296E" w:rsidRPr="00484135" w:rsidRDefault="00BF296E" w:rsidP="00484135">
      <w:pPr>
        <w:shd w:val="clear" w:color="auto" w:fill="FFFFFF"/>
        <w:spacing w:after="0" w:line="312" w:lineRule="auto"/>
        <w:ind w:firstLine="426"/>
        <w:rPr>
          <w:rFonts w:asciiTheme="majorHAnsi" w:eastAsia="Times New Roman" w:hAnsiTheme="majorHAnsi" w:cstheme="majorHAnsi"/>
          <w:sz w:val="22"/>
          <w:lang w:eastAsia="vi-VN"/>
        </w:rPr>
      </w:pPr>
      <w:r w:rsidRPr="00484135">
        <w:rPr>
          <w:rStyle w:val="Strong"/>
          <w:rFonts w:asciiTheme="majorHAnsi" w:hAnsiTheme="majorHAnsi" w:cstheme="majorHAnsi"/>
          <w:sz w:val="22"/>
          <w:shd w:val="clear" w:color="auto" w:fill="FFFFFF"/>
        </w:rPr>
        <w:t>Bên cạnh những quy định chung về hóa đơn điện tử cần nắm rõ khi bán hàng, cung ứng dịch vụ thì hộ, cá nhân kinh doanh cần phải biết một số lưu ý về hóa đơn điện tử đối với hộ kinh doanh dưới đây.</w:t>
      </w:r>
    </w:p>
    <w:p w14:paraId="3EAB3F9C" w14:textId="24483DE0"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Theo hướng dẫn mới nhất của Thông tư 78/2021/TT-BTC, các hộ, cá nhân kinh doanh nộp thuế theo phương pháp kê khai phải áp dụng xuất hóa đơn điện tử theo qui định. Vậy nên hộ, cá nhân kinh doanh cần phải lưu ý những nội dung quan trọng nào để đảm bảo thực hiện đúng theo quy định của cơ quan thuế, câu hỏi này vẫn đang là vướng mắc của hầu hết các hộ, cá nhân kinh doanh.</w:t>
      </w:r>
    </w:p>
    <w:p w14:paraId="4AB424A1" w14:textId="526C878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p>
    <w:p w14:paraId="7BEE0FF9"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Theo Điều 6 Thông tư số 78/2021/TT-BTC hướng dẫn thực hiện một số điều của Luật Quản lý thuế số 38 và Nghị định số 123/2020/NĐ-CP quy định về hóa đơn chứng từ thì hộ, cá nhân kinh doanh phải sử dụng hóa đơn điện tử kể từ ngày 01/07/2022.</w:t>
      </w:r>
    </w:p>
    <w:p w14:paraId="76E7BB57" w14:textId="6019D351" w:rsidR="00FB5F41" w:rsidRPr="00484135" w:rsidRDefault="00FB5F41" w:rsidP="003D49E8">
      <w:pPr>
        <w:pStyle w:val="ListParagraph"/>
        <w:numPr>
          <w:ilvl w:val="0"/>
          <w:numId w:val="6"/>
        </w:numPr>
        <w:shd w:val="clear" w:color="auto" w:fill="FFFFFF"/>
        <w:spacing w:after="0" w:line="312" w:lineRule="auto"/>
        <w:ind w:left="0" w:firstLine="426"/>
        <w:contextualSpacing w:val="0"/>
        <w:outlineLvl w:val="2"/>
        <w:rPr>
          <w:rFonts w:asciiTheme="majorHAnsi" w:eastAsia="Times New Roman" w:hAnsiTheme="majorHAnsi" w:cstheme="majorHAnsi"/>
          <w:b/>
          <w:bCs/>
          <w:sz w:val="22"/>
          <w:lang w:eastAsia="vi-VN"/>
        </w:rPr>
      </w:pPr>
      <w:r w:rsidRPr="00484135">
        <w:rPr>
          <w:rFonts w:asciiTheme="majorHAnsi" w:eastAsia="Times New Roman" w:hAnsiTheme="majorHAnsi" w:cstheme="majorHAnsi"/>
          <w:b/>
          <w:bCs/>
          <w:sz w:val="22"/>
          <w:lang w:eastAsia="vi-VN"/>
        </w:rPr>
        <w:t>Đối tượng sử dụng hóa đơn điện tử</w:t>
      </w:r>
    </w:p>
    <w:p w14:paraId="330AEA6C"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Ba đối tượng bắt buộc sử dụng hóa đơn điện tử:</w:t>
      </w:r>
    </w:p>
    <w:p w14:paraId="44D007C7" w14:textId="77777777" w:rsidR="00FB5F41" w:rsidRPr="00FB5F41" w:rsidRDefault="00FB5F41" w:rsidP="00484135">
      <w:pPr>
        <w:numPr>
          <w:ilvl w:val="0"/>
          <w:numId w:val="1"/>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cá nhân kinh doanh nộp thuế theo phương pháp kê khai.</w:t>
      </w:r>
    </w:p>
    <w:p w14:paraId="7BC72F43" w14:textId="77777777" w:rsidR="00FB5F41" w:rsidRPr="00FB5F41" w:rsidRDefault="00FB5F41" w:rsidP="00484135">
      <w:pPr>
        <w:numPr>
          <w:ilvl w:val="0"/>
          <w:numId w:val="1"/>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cá nhân kinh doanh nộp thuế theo phương pháp khoán, nếu có yêu cầu sử dụng hóa đơn thì cơ quan thuế cấp lẻ hóa đơn điện tử theo từng lần phát sinh.</w:t>
      </w:r>
    </w:p>
    <w:p w14:paraId="236D129B" w14:textId="77777777" w:rsidR="00FB5F41" w:rsidRPr="00FB5F41" w:rsidRDefault="00FB5F41" w:rsidP="00484135">
      <w:pPr>
        <w:numPr>
          <w:ilvl w:val="0"/>
          <w:numId w:val="1"/>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cá nhân kinh doanh khai thuế theo từng lần phát sinh, nếu có yêu cầu sử dụng hóa đơn thì cơ quan thuế cấp lẻ hóa đơn điện tử theo từng lần phát sinh.</w:t>
      </w:r>
    </w:p>
    <w:p w14:paraId="2A6F8220"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b/>
          <w:bCs/>
          <w:sz w:val="22"/>
          <w:lang w:eastAsia="vi-VN"/>
        </w:rPr>
        <w:t>Lưu ý</w:t>
      </w:r>
      <w:r w:rsidRPr="00FB5F41">
        <w:rPr>
          <w:rFonts w:asciiTheme="majorHAnsi" w:eastAsia="Times New Roman" w:hAnsiTheme="majorHAnsi" w:cstheme="majorHAnsi"/>
          <w:sz w:val="22"/>
          <w:lang w:eastAsia="vi-VN"/>
        </w:rPr>
        <w:t>: đối với hộ, cá nhân kinh doanh nộp thuế theo phương pháp khoán và các trường hợp dùng hóa đơn điện tử theo từng lần phát sinh cần lưu ý các điểm sau:</w:t>
      </w:r>
    </w:p>
    <w:p w14:paraId="12DFD9D9" w14:textId="77777777" w:rsidR="00FB5F41" w:rsidRPr="00FB5F41" w:rsidRDefault="00FB5F41" w:rsidP="00484135">
      <w:pPr>
        <w:numPr>
          <w:ilvl w:val="0"/>
          <w:numId w:val="2"/>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Cơ quan thuế cung cấp thông tin về áp dụng hóa đơn điện tử kèm theo tờ khai thuế của năm 2022 đến từng hộ kinh doanh từ 20/11/2021 – 05/12/2021 theo qui định tại Thông tư số 40/2021/TT-BTC.</w:t>
      </w:r>
    </w:p>
    <w:p w14:paraId="30B5139A" w14:textId="77777777" w:rsidR="00FB5F41" w:rsidRPr="00FB5F41" w:rsidRDefault="00FB5F41" w:rsidP="00484135">
      <w:pPr>
        <w:numPr>
          <w:ilvl w:val="0"/>
          <w:numId w:val="2"/>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nộp thuế theo phương pháp khoán và có nhu cầu sử dụng hóa đơn điện tử thường xuyên sẽ được cơ quan thuế hướng dẫn chuyển đổi sang phương pháp kê khai, sau đó sử dụng hóa đơn điện tử.</w:t>
      </w:r>
    </w:p>
    <w:p w14:paraId="2DBDD682" w14:textId="77777777" w:rsidR="00FB5F41" w:rsidRPr="00FB5F41" w:rsidRDefault="00FB5F41" w:rsidP="00484135">
      <w:pPr>
        <w:numPr>
          <w:ilvl w:val="0"/>
          <w:numId w:val="2"/>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nộp thuế theo phương pháp khoán và có nhu cầu sử dụng hóa đơn điện tử theo từng lần phát sinh, cơ quan thuế sẽ hướng dẫn nộp tờ khai thuế khoán cho năm 2022 theo quy định, thực hiện thủ tục đề nghị cấp hóa đơn điện tử theo từng lần phát sinh.</w:t>
      </w:r>
    </w:p>
    <w:p w14:paraId="66DB11B7"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Đặc biệt, hộ kinh doanh có thể sử dụng hóa đơn điện tử có mã cơ quan thuế và không phải trả tiền khi: thuộc địa phương có điều kiện kinh tế khó khăn hoặc đặc biệt khó khăn theo danh mục tại Nghị định 118/2015/NĐ-CP. Những đối tượng này sẽ không phải trả tiền trong vòng 12 tháng kể từ ngày bắt đầu sử dụng hóa đơn điện tử.</w:t>
      </w:r>
    </w:p>
    <w:p w14:paraId="7D43872C" w14:textId="7007725E" w:rsidR="00FB5F41" w:rsidRPr="00484135" w:rsidRDefault="00FB5F41" w:rsidP="003D49E8">
      <w:pPr>
        <w:pStyle w:val="ListParagraph"/>
        <w:numPr>
          <w:ilvl w:val="0"/>
          <w:numId w:val="6"/>
        </w:numPr>
        <w:shd w:val="clear" w:color="auto" w:fill="FFFFFF"/>
        <w:spacing w:after="0" w:line="312" w:lineRule="auto"/>
        <w:ind w:left="0" w:firstLine="426"/>
        <w:contextualSpacing w:val="0"/>
        <w:outlineLvl w:val="2"/>
        <w:rPr>
          <w:rFonts w:asciiTheme="majorHAnsi" w:eastAsia="Times New Roman" w:hAnsiTheme="majorHAnsi" w:cstheme="majorHAnsi"/>
          <w:b/>
          <w:bCs/>
          <w:sz w:val="22"/>
          <w:lang w:eastAsia="vi-VN"/>
        </w:rPr>
      </w:pPr>
      <w:r w:rsidRPr="00484135">
        <w:rPr>
          <w:rFonts w:asciiTheme="majorHAnsi" w:eastAsia="Times New Roman" w:hAnsiTheme="majorHAnsi" w:cstheme="majorHAnsi"/>
          <w:b/>
          <w:bCs/>
          <w:sz w:val="22"/>
          <w:lang w:eastAsia="vi-VN"/>
        </w:rPr>
        <w:t>Các trường hợp chưa bắt buộc sử dụng hóa đơn điện tử</w:t>
      </w:r>
    </w:p>
    <w:p w14:paraId="154FE0D8" w14:textId="77777777" w:rsidR="00D3041E" w:rsidRPr="00484135" w:rsidRDefault="00D3041E"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Khoản 2 Điều 11 Thông tư 78/2021/TT-BTC quy định hộ, cá nhân kinh doanh áp dụng hóa đơn điện tử áp dụng từ ngày 01/7/2022. Tuy nhiên, vẫn có đối tượng được tiếp tục sử dụng hóa đơn giấy của cơ quan thuế, cụ thể:</w:t>
      </w:r>
    </w:p>
    <w:p w14:paraId="3471867A" w14:textId="06A90CCA" w:rsidR="00D3041E" w:rsidRPr="00484135" w:rsidRDefault="00D3041E"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Style w:val="Emphasis"/>
          <w:rFonts w:asciiTheme="majorHAnsi" w:hAnsiTheme="majorHAnsi" w:cstheme="majorHAnsi"/>
          <w:b/>
          <w:bCs/>
          <w:sz w:val="22"/>
          <w:szCs w:val="22"/>
        </w:rPr>
        <w:t>* Đối tượng áp dụng</w:t>
      </w:r>
      <w:r w:rsidRPr="00484135">
        <w:rPr>
          <w:rFonts w:asciiTheme="majorHAnsi" w:hAnsiTheme="majorHAnsi" w:cstheme="majorHAnsi"/>
          <w:sz w:val="22"/>
          <w:szCs w:val="22"/>
        </w:rPr>
        <w:t>: Hộ kinh doanh, cá nhân kinh doanh tại địa bàn có điều kiện kinh tế - xã hội khó khăn, địa bàn có điều kiện kinh tế - xã hội đặc biệt khó khăn không thực hiện giao dịch với cơ quan thuế bằng phương tiện điện tử, không có hệ thống phần mềm kế toán, không có hạ tầng công nghệ thông tin, không có phần mềm lập hóa đơn điện tử để sử dụng hóa đơn điện tử và truyền dữ liệu điện tử đến người mua và đến cơ quan thuế thì được tiếp tục sử dụng hóa đơn giấy của cơ quan thuế.</w:t>
      </w:r>
    </w:p>
    <w:p w14:paraId="1BC623F8" w14:textId="77777777" w:rsidR="00D3041E" w:rsidRPr="00484135" w:rsidRDefault="00D3041E"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Style w:val="Emphasis"/>
          <w:rFonts w:asciiTheme="majorHAnsi" w:hAnsiTheme="majorHAnsi" w:cstheme="majorHAnsi"/>
          <w:b/>
          <w:bCs/>
          <w:sz w:val="22"/>
          <w:szCs w:val="22"/>
        </w:rPr>
        <w:t>* Thời gian sử dụng hóa đơn giấy</w:t>
      </w:r>
      <w:r w:rsidRPr="00484135">
        <w:rPr>
          <w:rFonts w:asciiTheme="majorHAnsi" w:hAnsiTheme="majorHAnsi" w:cstheme="majorHAnsi"/>
          <w:sz w:val="22"/>
          <w:szCs w:val="22"/>
        </w:rPr>
        <w:t>: Được sử dụng trong thời gian tối đa 12 tháng.</w:t>
      </w:r>
    </w:p>
    <w:p w14:paraId="1B5E9C84" w14:textId="77777777" w:rsidR="00D3041E" w:rsidRPr="00484135" w:rsidRDefault="00D3041E"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 Tối đa 12 tháng được tính một lần kể từ ngày 01/7/2022 đối với hộ, cá nhân kinh doanh đang hoạt động từ trước 01/7/2022.</w:t>
      </w:r>
    </w:p>
    <w:p w14:paraId="17A72901" w14:textId="77777777" w:rsidR="00D3041E" w:rsidRPr="00484135" w:rsidRDefault="00D3041E"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lastRenderedPageBreak/>
        <w:t>- Tối đa 12 tháng kể từ thời điểm đăng ký bắt đầu sử dụng hóa đơn đối với hộ, cá nhân kinh doanh mới thành lập từ ngày 01/7/2022.</w:t>
      </w:r>
    </w:p>
    <w:p w14:paraId="23C4818D" w14:textId="58191B0A" w:rsidR="00812B97" w:rsidRPr="003D49E8" w:rsidRDefault="00484135" w:rsidP="00484135">
      <w:pPr>
        <w:pStyle w:val="Heading2"/>
        <w:shd w:val="clear" w:color="auto" w:fill="FFFFFF"/>
        <w:spacing w:before="0" w:line="312" w:lineRule="auto"/>
        <w:ind w:firstLine="426"/>
        <w:rPr>
          <w:rFonts w:cstheme="majorHAnsi"/>
          <w:color w:val="auto"/>
          <w:sz w:val="22"/>
          <w:szCs w:val="22"/>
        </w:rPr>
      </w:pPr>
      <w:r w:rsidRPr="003D49E8">
        <w:rPr>
          <w:rStyle w:val="Strong"/>
          <w:rFonts w:cstheme="majorHAnsi"/>
          <w:color w:val="auto"/>
          <w:sz w:val="22"/>
          <w:szCs w:val="22"/>
          <w:lang w:val="en-US"/>
        </w:rPr>
        <w:t xml:space="preserve">3. </w:t>
      </w:r>
      <w:r w:rsidR="00812B97" w:rsidRPr="003D49E8">
        <w:rPr>
          <w:rStyle w:val="Strong"/>
          <w:rFonts w:cstheme="majorHAnsi"/>
          <w:color w:val="auto"/>
          <w:sz w:val="22"/>
          <w:szCs w:val="22"/>
        </w:rPr>
        <w:t>Ai sử dụng hóa đơn điện tử có mã không phải trả tiền?</w:t>
      </w:r>
    </w:p>
    <w:p w14:paraId="44AAD0F2" w14:textId="77777777" w:rsidR="00812B97" w:rsidRPr="00484135" w:rsidRDefault="00812B97"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 Đối tượng áp dụng: Hộ kinh doanh, cá nhân kinh doanh tại địa bàn có điều kiện kinh tế - xã hội khó khăn, địa bàn có điều kiện kinh tế - xã hội đặc biệt khó khăn (theo khoản 1 Điều 14 Nghị định 123/2020/NĐ-CP).</w:t>
      </w:r>
    </w:p>
    <w:p w14:paraId="681E9BC5" w14:textId="77777777" w:rsidR="00812B97" w:rsidRPr="00484135" w:rsidRDefault="00812B97"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Địa bàn có điều kiện kinh tế - xã hội khó khăn, đặc biệt khó khăn thực hiện theo danh mục địa bàn ưu đãi đầu tư ban hành kèm theo Nghị định 118/2015/NĐ-CP và các văn bản sửa đổi, bổ sung hoặc thay thế (nếu có).</w:t>
      </w:r>
    </w:p>
    <w:p w14:paraId="794AB5D2" w14:textId="77777777" w:rsidR="00812B97" w:rsidRPr="00484135" w:rsidRDefault="00812B97"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 Thời gian không phải trả tiền dịch vụ: Trong vòng 12 tháng kể từ khi bắt đầu sử dụng hóa đơn điện tử.</w:t>
      </w:r>
    </w:p>
    <w:p w14:paraId="422E30A6" w14:textId="77777777" w:rsidR="00812B97" w:rsidRPr="003D49E8" w:rsidRDefault="00812B97" w:rsidP="00484135">
      <w:pPr>
        <w:pStyle w:val="Heading2"/>
        <w:shd w:val="clear" w:color="auto" w:fill="FFFFFF"/>
        <w:spacing w:before="0" w:line="312" w:lineRule="auto"/>
        <w:ind w:firstLine="426"/>
        <w:rPr>
          <w:rFonts w:cstheme="majorHAnsi"/>
          <w:color w:val="auto"/>
          <w:sz w:val="22"/>
          <w:szCs w:val="22"/>
        </w:rPr>
      </w:pPr>
      <w:r w:rsidRPr="003D49E8">
        <w:rPr>
          <w:rStyle w:val="Strong"/>
          <w:rFonts w:cstheme="majorHAnsi"/>
          <w:color w:val="auto"/>
          <w:sz w:val="22"/>
          <w:szCs w:val="22"/>
        </w:rPr>
        <w:t>4. Có thể thêm logo hoặc thông tin khác vào hóa đơn điện tử</w:t>
      </w:r>
    </w:p>
    <w:p w14:paraId="010D37C9" w14:textId="77777777" w:rsidR="00812B97" w:rsidRPr="00484135" w:rsidRDefault="00812B97" w:rsidP="00484135">
      <w:pPr>
        <w:pStyle w:val="NormalWeb"/>
        <w:shd w:val="clear" w:color="auto" w:fill="FFFFFF"/>
        <w:spacing w:before="0" w:beforeAutospacing="0" w:after="0" w:afterAutospacing="0" w:line="312" w:lineRule="auto"/>
        <w:ind w:firstLine="426"/>
        <w:rPr>
          <w:rFonts w:asciiTheme="majorHAnsi" w:hAnsiTheme="majorHAnsi" w:cstheme="majorHAnsi"/>
          <w:sz w:val="22"/>
          <w:szCs w:val="22"/>
        </w:rPr>
      </w:pPr>
      <w:r w:rsidRPr="00484135">
        <w:rPr>
          <w:rFonts w:asciiTheme="majorHAnsi" w:hAnsiTheme="majorHAnsi" w:cstheme="majorHAnsi"/>
          <w:sz w:val="22"/>
          <w:szCs w:val="22"/>
        </w:rPr>
        <w:t>Hộ, cá nhân kinh doanh có thể tạo thêm biểu trưng hay logo để thể hiện thương hiệu, nhãn hiệu hay hình ảnh đại diện của người bán vào nội dung hóa đơn điện tử. Nội dung này được quy định rõ tại khoản 15 Điều 10 Nghị định 123/2020/NĐ-CP như sau:</w:t>
      </w:r>
    </w:p>
    <w:p w14:paraId="7321C793" w14:textId="77777777" w:rsidR="00812B97" w:rsidRPr="00484135" w:rsidRDefault="00812B97" w:rsidP="00484135">
      <w:pPr>
        <w:pStyle w:val="NormalWeb"/>
        <w:shd w:val="clear" w:color="auto" w:fill="FFFFFF"/>
        <w:spacing w:before="0" w:beforeAutospacing="0" w:after="0" w:afterAutospacing="0" w:line="312" w:lineRule="auto"/>
        <w:ind w:firstLine="426"/>
        <w:rPr>
          <w:rFonts w:asciiTheme="majorHAnsi" w:hAnsiTheme="majorHAnsi" w:cstheme="majorHAnsi"/>
          <w:i/>
          <w:iCs/>
          <w:sz w:val="22"/>
          <w:szCs w:val="22"/>
        </w:rPr>
      </w:pPr>
      <w:r w:rsidRPr="00484135">
        <w:rPr>
          <w:rFonts w:asciiTheme="majorHAnsi" w:hAnsiTheme="majorHAnsi" w:cstheme="majorHAnsi"/>
          <w:i/>
          <w:iCs/>
          <w:sz w:val="22"/>
          <w:szCs w:val="22"/>
        </w:rPr>
        <w:t>“Ngoài các nội dung hướng dẫn từ khoản 1 đến khoản 13 Điều này, doanh nghiệp, tổ chức, hộ, cá nhân kinh doanh có thể tạo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14:paraId="06618255" w14:textId="51931196" w:rsidR="00FB5F41" w:rsidRPr="00FB5F41" w:rsidRDefault="00484135" w:rsidP="00484135">
      <w:pPr>
        <w:shd w:val="clear" w:color="auto" w:fill="FFFFFF"/>
        <w:spacing w:after="0" w:line="312" w:lineRule="auto"/>
        <w:ind w:firstLine="426"/>
        <w:outlineLvl w:val="2"/>
        <w:rPr>
          <w:rFonts w:asciiTheme="majorHAnsi" w:eastAsia="Times New Roman" w:hAnsiTheme="majorHAnsi" w:cstheme="majorHAnsi"/>
          <w:b/>
          <w:bCs/>
          <w:sz w:val="22"/>
          <w:lang w:eastAsia="vi-VN"/>
        </w:rPr>
      </w:pPr>
      <w:r w:rsidRPr="00484135">
        <w:rPr>
          <w:rFonts w:asciiTheme="majorHAnsi" w:eastAsia="Times New Roman" w:hAnsiTheme="majorHAnsi" w:cstheme="majorHAnsi"/>
          <w:b/>
          <w:bCs/>
          <w:sz w:val="22"/>
          <w:lang w:val="en-US" w:eastAsia="vi-VN"/>
        </w:rPr>
        <w:t xml:space="preserve">5. </w:t>
      </w:r>
      <w:r w:rsidR="00FB5F41" w:rsidRPr="00FB5F41">
        <w:rPr>
          <w:rFonts w:asciiTheme="majorHAnsi" w:eastAsia="Times New Roman" w:hAnsiTheme="majorHAnsi" w:cstheme="majorHAnsi"/>
          <w:b/>
          <w:bCs/>
          <w:sz w:val="22"/>
          <w:lang w:eastAsia="vi-VN"/>
        </w:rPr>
        <w:t>Bốn trường hợp buộc phải ngừng sử dụng hóa đơn điện tử</w:t>
      </w:r>
    </w:p>
    <w:p w14:paraId="65D1AB8D"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Theo khoản 1, Điều 16, Nghị định 123/2020/NĐ-CP các hộ, cá nhân kinh doanh cần phải ngừng sử dụng hóa đơn điện tử có mã hoặc không có mã của cơ quan thuế.</w:t>
      </w:r>
    </w:p>
    <w:p w14:paraId="37AF34A9" w14:textId="77777777" w:rsidR="00FB5F41" w:rsidRPr="00FB5F41" w:rsidRDefault="00FB5F41" w:rsidP="00484135">
      <w:pPr>
        <w:numPr>
          <w:ilvl w:val="0"/>
          <w:numId w:val="4"/>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có mã số thuế hết hiệu lực.</w:t>
      </w:r>
    </w:p>
    <w:p w14:paraId="57841B93" w14:textId="77777777" w:rsidR="00FB5F41" w:rsidRPr="00FB5F41" w:rsidRDefault="00FB5F41" w:rsidP="00484135">
      <w:pPr>
        <w:numPr>
          <w:ilvl w:val="0"/>
          <w:numId w:val="4"/>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bị cơ quan thuế thông báo không hoạt động tại địa chỉ đăng ký kinh doanh.</w:t>
      </w:r>
    </w:p>
    <w:p w14:paraId="0222AAA0" w14:textId="77777777" w:rsidR="00FB5F41" w:rsidRPr="00FB5F41" w:rsidRDefault="00FB5F41" w:rsidP="00484135">
      <w:pPr>
        <w:numPr>
          <w:ilvl w:val="0"/>
          <w:numId w:val="4"/>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thông báo tạm ngừng kinh doanh với cơ quan thuế có thẩm quyền.</w:t>
      </w:r>
    </w:p>
    <w:p w14:paraId="06F875E6" w14:textId="77777777" w:rsidR="00FB5F41" w:rsidRPr="00FB5F41" w:rsidRDefault="00FB5F41" w:rsidP="00484135">
      <w:pPr>
        <w:numPr>
          <w:ilvl w:val="0"/>
          <w:numId w:val="4"/>
        </w:num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Hộ nhận được yêu cầu cưỡng chế do nợ thuế.</w:t>
      </w:r>
    </w:p>
    <w:p w14:paraId="04CFADC3" w14:textId="77777777" w:rsidR="00FB5F41" w:rsidRPr="00FB5F41" w:rsidRDefault="00FB5F41" w:rsidP="00484135">
      <w:pPr>
        <w:shd w:val="clear" w:color="auto" w:fill="FFFFFF"/>
        <w:spacing w:after="0" w:line="312" w:lineRule="auto"/>
        <w:ind w:firstLine="426"/>
        <w:outlineLvl w:val="2"/>
        <w:rPr>
          <w:rFonts w:asciiTheme="majorHAnsi" w:eastAsia="Times New Roman" w:hAnsiTheme="majorHAnsi" w:cstheme="majorHAnsi"/>
          <w:b/>
          <w:bCs/>
          <w:sz w:val="22"/>
          <w:lang w:eastAsia="vi-VN"/>
        </w:rPr>
      </w:pPr>
      <w:r w:rsidRPr="00FB5F41">
        <w:rPr>
          <w:rFonts w:asciiTheme="majorHAnsi" w:eastAsia="Times New Roman" w:hAnsiTheme="majorHAnsi" w:cstheme="majorHAnsi"/>
          <w:b/>
          <w:bCs/>
          <w:sz w:val="22"/>
          <w:lang w:eastAsia="vi-VN"/>
        </w:rPr>
        <w:t>Việc cấp hóa đơn điện tử có mã cơ quan thuế cho hộ, cá nhân kinh doanh</w:t>
      </w:r>
    </w:p>
    <w:p w14:paraId="2E49B499"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Theo điểm C, khoản 2, Điều 13, Nghị định 123/2020/NĐ-CP, các hộ, cá nhân kinh doanh xác định cơ quan thuế cấp hóa đơn điện tử có mã theo từng lần phát sinh sẽ căn cứ vào:</w:t>
      </w:r>
    </w:p>
    <w:p w14:paraId="5CA226F4"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Có địa điểm kinh doanh cố định: nộp hồ sơ đề nghị cấp hóa đơn điện tử có mã theo từng lần phát sinh tại chi cục thuế quản lý nơi hộ, cá nhân kinh doanh hoạt động kinh doanh.</w:t>
      </w:r>
    </w:p>
    <w:p w14:paraId="53BD3BA0"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Không có địa điểm kinh doanh cố định: nộp hồ sơ đề nghị cấp hóa đơn điện tử có mã theo từng lần phát sinh tại chi cục thuế quản lý nơi cá nhân cư trú hoặc nơi hộ, cá nhân kinh doanh đăng ký kinh doanh.</w:t>
      </w:r>
    </w:p>
    <w:p w14:paraId="1DA552ED" w14:textId="77777777" w:rsidR="00FB5F41" w:rsidRPr="00FB5F41" w:rsidRDefault="00FB5F41" w:rsidP="00484135">
      <w:pPr>
        <w:shd w:val="clear" w:color="auto" w:fill="FFFFFF"/>
        <w:spacing w:after="0" w:line="312" w:lineRule="auto"/>
        <w:ind w:firstLine="426"/>
        <w:rPr>
          <w:rFonts w:asciiTheme="majorHAnsi" w:eastAsia="Times New Roman" w:hAnsiTheme="majorHAnsi" w:cstheme="majorHAnsi"/>
          <w:sz w:val="22"/>
          <w:lang w:eastAsia="vi-VN"/>
        </w:rPr>
      </w:pPr>
      <w:r w:rsidRPr="00FB5F41">
        <w:rPr>
          <w:rFonts w:asciiTheme="majorHAnsi" w:eastAsia="Times New Roman" w:hAnsiTheme="majorHAnsi" w:cstheme="majorHAnsi"/>
          <w:sz w:val="22"/>
          <w:lang w:eastAsia="vi-VN"/>
        </w:rPr>
        <w:t>Bên cạnh việc chuyển sang sử dụng hóa đơn điện tử, các hộ, cá nhân kinh doanh cũng cần phải tìm hiểu và sử dụng thêm phần mềm kế toán đáp ứng theo Thông tư 88/2021/TT-BTC của Bộ Tài Chính nhằm giúp cho các hộ, cá nhân kinh doanh có ngay số liệu, nhanh chóng nộp Tờ khai thuế cá nhân kinh doanh (tờ khai 01/CNKD) chính xác, đúng thời hạn qui định.</w:t>
      </w:r>
    </w:p>
    <w:p w14:paraId="0D1E2258" w14:textId="2FFB8A6D" w:rsidR="00A2079F" w:rsidRDefault="003D49E8" w:rsidP="00484135">
      <w:pPr>
        <w:spacing w:after="0" w:line="312" w:lineRule="auto"/>
        <w:ind w:firstLine="426"/>
        <w:rPr>
          <w:rFonts w:asciiTheme="majorHAnsi" w:hAnsiTheme="majorHAnsi" w:cstheme="majorHAnsi"/>
          <w:sz w:val="22"/>
          <w:lang w:val="en-US"/>
        </w:rPr>
      </w:pPr>
      <w:proofErr w:type="spellStart"/>
      <w:r>
        <w:rPr>
          <w:rFonts w:asciiTheme="majorHAnsi" w:hAnsiTheme="majorHAnsi" w:cstheme="majorHAnsi"/>
          <w:sz w:val="22"/>
          <w:lang w:val="en-US"/>
        </w:rPr>
        <w:t>Tóm</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lại</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những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quy</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định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nói</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chung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và</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cụ</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thể</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dành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cho</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hộ</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kinh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doanh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với</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việc</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sử</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dụng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hóa</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đơn</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điện</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tử</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theo</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đúng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quy</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định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của</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Pháp</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luật</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giúp</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cho</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hộ</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kinh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doanh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có</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định</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hướng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kịp</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thời</w:t>
      </w:r>
      <w:proofErr w:type="spellEnd"/>
      <w:r w:rsidR="00781505">
        <w:rPr>
          <w:rFonts w:asciiTheme="majorHAnsi" w:hAnsiTheme="majorHAnsi" w:cstheme="majorHAnsi"/>
          <w:sz w:val="22"/>
          <w:lang w:val="en-US"/>
        </w:rPr>
        <w:t xml:space="preserve"> </w:t>
      </w:r>
      <w:proofErr w:type="spellStart"/>
      <w:r w:rsidR="00781505">
        <w:rPr>
          <w:rFonts w:asciiTheme="majorHAnsi" w:hAnsiTheme="majorHAnsi" w:cstheme="majorHAnsi"/>
          <w:sz w:val="22"/>
          <w:lang w:val="en-US"/>
        </w:rPr>
        <w:t>trong</w:t>
      </w:r>
      <w:proofErr w:type="spellEnd"/>
      <w:r w:rsidR="00781505">
        <w:rPr>
          <w:rFonts w:asciiTheme="majorHAnsi" w:hAnsiTheme="majorHAnsi" w:cstheme="majorHAnsi"/>
          <w:sz w:val="22"/>
          <w:lang w:val="en-US"/>
        </w:rPr>
        <w:t xml:space="preserve"> </w:t>
      </w:r>
      <w:proofErr w:type="spellStart"/>
      <w:r w:rsidR="00781505">
        <w:rPr>
          <w:rFonts w:asciiTheme="majorHAnsi" w:hAnsiTheme="majorHAnsi" w:cstheme="majorHAnsi"/>
          <w:sz w:val="22"/>
          <w:lang w:val="en-US"/>
        </w:rPr>
        <w:t>thời</w:t>
      </w:r>
      <w:proofErr w:type="spellEnd"/>
      <w:r w:rsidR="00781505">
        <w:rPr>
          <w:rFonts w:asciiTheme="majorHAnsi" w:hAnsiTheme="majorHAnsi" w:cstheme="majorHAnsi"/>
          <w:sz w:val="22"/>
          <w:lang w:val="en-US"/>
        </w:rPr>
        <w:t xml:space="preserve"> </w:t>
      </w:r>
      <w:proofErr w:type="spellStart"/>
      <w:r w:rsidR="00781505">
        <w:rPr>
          <w:rFonts w:asciiTheme="majorHAnsi" w:hAnsiTheme="majorHAnsi" w:cstheme="majorHAnsi"/>
          <w:sz w:val="22"/>
          <w:lang w:val="en-US"/>
        </w:rPr>
        <w:t>gian</w:t>
      </w:r>
      <w:proofErr w:type="spellEnd"/>
      <w:r w:rsidR="00781505">
        <w:rPr>
          <w:rFonts w:asciiTheme="majorHAnsi" w:hAnsiTheme="majorHAnsi" w:cstheme="majorHAnsi"/>
          <w:sz w:val="22"/>
          <w:lang w:val="en-US"/>
        </w:rPr>
        <w:t xml:space="preserve"> </w:t>
      </w:r>
      <w:proofErr w:type="spellStart"/>
      <w:r w:rsidR="00781505">
        <w:rPr>
          <w:rFonts w:asciiTheme="majorHAnsi" w:hAnsiTheme="majorHAnsi" w:cstheme="majorHAnsi"/>
          <w:sz w:val="22"/>
          <w:lang w:val="en-US"/>
        </w:rPr>
        <w:t>sắp</w:t>
      </w:r>
      <w:proofErr w:type="spellEnd"/>
      <w:r w:rsidR="00781505">
        <w:rPr>
          <w:rFonts w:asciiTheme="majorHAnsi" w:hAnsiTheme="majorHAnsi" w:cstheme="majorHAnsi"/>
          <w:sz w:val="22"/>
          <w:lang w:val="en-US"/>
        </w:rPr>
        <w:t xml:space="preserve"> </w:t>
      </w:r>
      <w:proofErr w:type="spellStart"/>
      <w:r w:rsidR="00781505">
        <w:rPr>
          <w:rFonts w:asciiTheme="majorHAnsi" w:hAnsiTheme="majorHAnsi" w:cstheme="majorHAnsi"/>
          <w:sz w:val="22"/>
          <w:lang w:val="en-US"/>
        </w:rPr>
        <w:t>đến</w:t>
      </w:r>
      <w:proofErr w:type="spellEnd"/>
      <w:r w:rsidR="00781505">
        <w:rPr>
          <w:rFonts w:asciiTheme="majorHAnsi" w:hAnsiTheme="majorHAnsi" w:cstheme="majorHAnsi"/>
          <w:sz w:val="22"/>
          <w:lang w:val="en-US"/>
        </w:rPr>
        <w:t>.</w:t>
      </w:r>
    </w:p>
    <w:p w14:paraId="5FFA534F" w14:textId="3E987D9E" w:rsidR="00781505" w:rsidRDefault="00781505" w:rsidP="00484135">
      <w:pPr>
        <w:spacing w:after="0" w:line="312" w:lineRule="auto"/>
        <w:ind w:firstLine="426"/>
        <w:rPr>
          <w:rFonts w:asciiTheme="majorHAnsi" w:hAnsiTheme="majorHAnsi" w:cstheme="majorHAnsi"/>
          <w:sz w:val="22"/>
          <w:lang w:val="en-US"/>
        </w:rPr>
      </w:pP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proofErr w:type="spellStart"/>
      <w:r>
        <w:rPr>
          <w:rFonts w:asciiTheme="majorHAnsi" w:hAnsiTheme="majorHAnsi" w:cstheme="majorHAnsi"/>
          <w:sz w:val="22"/>
          <w:lang w:val="en-US"/>
        </w:rPr>
        <w:t>Ths</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Võ</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Hồng</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Hạnh</w:t>
      </w:r>
      <w:proofErr w:type="spellEnd"/>
    </w:p>
    <w:p w14:paraId="7B17E419" w14:textId="35A7ED64" w:rsidR="00781505" w:rsidRDefault="00781505" w:rsidP="00484135">
      <w:pPr>
        <w:spacing w:after="0" w:line="312" w:lineRule="auto"/>
        <w:ind w:firstLine="426"/>
        <w:rPr>
          <w:rFonts w:asciiTheme="majorHAnsi" w:hAnsiTheme="majorHAnsi" w:cstheme="majorHAnsi"/>
          <w:sz w:val="22"/>
          <w:lang w:val="en-US"/>
        </w:rPr>
      </w:pPr>
      <w:proofErr w:type="spellStart"/>
      <w:r>
        <w:rPr>
          <w:rFonts w:asciiTheme="majorHAnsi" w:hAnsiTheme="majorHAnsi" w:cstheme="majorHAnsi"/>
          <w:sz w:val="22"/>
          <w:lang w:val="en-US"/>
        </w:rPr>
        <w:t>Tài</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liệu</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tham</w:t>
      </w:r>
      <w:proofErr w:type="spellEnd"/>
      <w:r>
        <w:rPr>
          <w:rFonts w:asciiTheme="majorHAnsi" w:hAnsiTheme="majorHAnsi" w:cstheme="majorHAnsi"/>
          <w:sz w:val="22"/>
          <w:lang w:val="en-US"/>
        </w:rPr>
        <w:t xml:space="preserve"> </w:t>
      </w:r>
      <w:proofErr w:type="spellStart"/>
      <w:r>
        <w:rPr>
          <w:rFonts w:asciiTheme="majorHAnsi" w:hAnsiTheme="majorHAnsi" w:cstheme="majorHAnsi"/>
          <w:sz w:val="22"/>
          <w:lang w:val="en-US"/>
        </w:rPr>
        <w:t>khảo</w:t>
      </w:r>
      <w:proofErr w:type="spellEnd"/>
      <w:r>
        <w:rPr>
          <w:rFonts w:asciiTheme="majorHAnsi" w:hAnsiTheme="majorHAnsi" w:cstheme="majorHAnsi"/>
          <w:sz w:val="22"/>
          <w:lang w:val="en-US"/>
        </w:rPr>
        <w:t>:</w:t>
      </w:r>
    </w:p>
    <w:p w14:paraId="064AE9B4" w14:textId="46C048B9" w:rsidR="00781505" w:rsidRPr="003D49E8" w:rsidRDefault="00781505" w:rsidP="00484135">
      <w:pPr>
        <w:spacing w:after="0" w:line="312" w:lineRule="auto"/>
        <w:ind w:firstLine="426"/>
        <w:rPr>
          <w:rFonts w:asciiTheme="majorHAnsi" w:hAnsiTheme="majorHAnsi" w:cstheme="majorHAnsi"/>
          <w:sz w:val="22"/>
          <w:lang w:val="en-US"/>
        </w:rPr>
      </w:pPr>
      <w:r>
        <w:rPr>
          <w:rFonts w:asciiTheme="majorHAnsi" w:hAnsiTheme="majorHAnsi" w:cstheme="majorHAnsi"/>
          <w:sz w:val="22"/>
          <w:lang w:val="en-US"/>
        </w:rPr>
        <w:t>Luatvietnam.vn</w:t>
      </w:r>
    </w:p>
    <w:sectPr w:rsidR="00781505" w:rsidRPr="003D49E8" w:rsidSect="003D49E8">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EAA"/>
    <w:multiLevelType w:val="multilevel"/>
    <w:tmpl w:val="6C7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4B68"/>
    <w:multiLevelType w:val="multilevel"/>
    <w:tmpl w:val="38F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35257"/>
    <w:multiLevelType w:val="multilevel"/>
    <w:tmpl w:val="2AF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31D0F"/>
    <w:multiLevelType w:val="multilevel"/>
    <w:tmpl w:val="EB86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156D8"/>
    <w:multiLevelType w:val="multilevel"/>
    <w:tmpl w:val="AA8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E2DC9"/>
    <w:multiLevelType w:val="hybridMultilevel"/>
    <w:tmpl w:val="BF1C4CC6"/>
    <w:lvl w:ilvl="0" w:tplc="B22A911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785342181">
    <w:abstractNumId w:val="1"/>
  </w:num>
  <w:num w:numId="2" w16cid:durableId="181164131">
    <w:abstractNumId w:val="3"/>
  </w:num>
  <w:num w:numId="3" w16cid:durableId="612326901">
    <w:abstractNumId w:val="2"/>
  </w:num>
  <w:num w:numId="4" w16cid:durableId="1186167203">
    <w:abstractNumId w:val="0"/>
  </w:num>
  <w:num w:numId="5" w16cid:durableId="1799687470">
    <w:abstractNumId w:val="4"/>
  </w:num>
  <w:num w:numId="6" w16cid:durableId="1412892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41"/>
    <w:rsid w:val="003D49E8"/>
    <w:rsid w:val="00484135"/>
    <w:rsid w:val="005B7881"/>
    <w:rsid w:val="0076505D"/>
    <w:rsid w:val="00781505"/>
    <w:rsid w:val="00812B97"/>
    <w:rsid w:val="00A2079F"/>
    <w:rsid w:val="00BF296E"/>
    <w:rsid w:val="00D3041E"/>
    <w:rsid w:val="00FB5F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9E1C"/>
  <w15:chartTrackingRefBased/>
  <w15:docId w15:val="{B7AC2382-EFD7-43AF-9592-41EAFE22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5F41"/>
    <w:pPr>
      <w:spacing w:before="100" w:beforeAutospacing="1" w:after="100" w:afterAutospacing="1" w:line="240" w:lineRule="auto"/>
      <w:jc w:val="left"/>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D304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5F41"/>
    <w:pPr>
      <w:spacing w:before="100" w:beforeAutospacing="1" w:after="100" w:afterAutospacing="1" w:line="240" w:lineRule="auto"/>
      <w:jc w:val="left"/>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F41"/>
    <w:rPr>
      <w:rFonts w:eastAsia="Times New Roman" w:cs="Times New Roman"/>
      <w:b/>
      <w:bCs/>
      <w:kern w:val="36"/>
      <w:sz w:val="48"/>
      <w:szCs w:val="48"/>
      <w:lang w:eastAsia="vi-VN"/>
    </w:rPr>
  </w:style>
  <w:style w:type="character" w:customStyle="1" w:styleId="Heading3Char">
    <w:name w:val="Heading 3 Char"/>
    <w:basedOn w:val="DefaultParagraphFont"/>
    <w:link w:val="Heading3"/>
    <w:uiPriority w:val="9"/>
    <w:rsid w:val="00FB5F41"/>
    <w:rPr>
      <w:rFonts w:eastAsia="Times New Roman" w:cs="Times New Roman"/>
      <w:b/>
      <w:bCs/>
      <w:sz w:val="27"/>
      <w:szCs w:val="27"/>
      <w:lang w:eastAsia="vi-VN"/>
    </w:rPr>
  </w:style>
  <w:style w:type="paragraph" w:styleId="NormalWeb">
    <w:name w:val="Normal (Web)"/>
    <w:basedOn w:val="Normal"/>
    <w:uiPriority w:val="99"/>
    <w:semiHidden/>
    <w:unhideWhenUsed/>
    <w:rsid w:val="00FB5F41"/>
    <w:pPr>
      <w:spacing w:before="100" w:beforeAutospacing="1" w:after="100" w:afterAutospacing="1" w:line="240" w:lineRule="auto"/>
      <w:jc w:val="left"/>
    </w:pPr>
    <w:rPr>
      <w:rFonts w:eastAsia="Times New Roman" w:cs="Times New Roman"/>
      <w:sz w:val="24"/>
      <w:szCs w:val="24"/>
      <w:lang w:eastAsia="vi-VN"/>
    </w:rPr>
  </w:style>
  <w:style w:type="character" w:customStyle="1" w:styleId="subtitlenews">
    <w:name w:val="subtitlenews"/>
    <w:basedOn w:val="DefaultParagraphFont"/>
    <w:rsid w:val="00FB5F41"/>
  </w:style>
  <w:style w:type="character" w:styleId="Strong">
    <w:name w:val="Strong"/>
    <w:basedOn w:val="DefaultParagraphFont"/>
    <w:uiPriority w:val="22"/>
    <w:qFormat/>
    <w:rsid w:val="00FB5F41"/>
    <w:rPr>
      <w:b/>
      <w:bCs/>
    </w:rPr>
  </w:style>
  <w:style w:type="character" w:styleId="Emphasis">
    <w:name w:val="Emphasis"/>
    <w:basedOn w:val="DefaultParagraphFont"/>
    <w:uiPriority w:val="20"/>
    <w:qFormat/>
    <w:rsid w:val="00D3041E"/>
    <w:rPr>
      <w:i/>
      <w:iCs/>
    </w:rPr>
  </w:style>
  <w:style w:type="character" w:customStyle="1" w:styleId="Heading2Char">
    <w:name w:val="Heading 2 Char"/>
    <w:basedOn w:val="DefaultParagraphFont"/>
    <w:link w:val="Heading2"/>
    <w:uiPriority w:val="9"/>
    <w:semiHidden/>
    <w:rsid w:val="00D3041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3041E"/>
    <w:rPr>
      <w:color w:val="0000FF"/>
      <w:u w:val="single"/>
    </w:rPr>
  </w:style>
  <w:style w:type="character" w:customStyle="1" w:styleId="toc-title">
    <w:name w:val="toc-title"/>
    <w:basedOn w:val="DefaultParagraphFont"/>
    <w:rsid w:val="00D3041E"/>
  </w:style>
  <w:style w:type="character" w:customStyle="1" w:styleId="toc-show">
    <w:name w:val="toc-show"/>
    <w:basedOn w:val="DefaultParagraphFont"/>
    <w:rsid w:val="00D3041E"/>
  </w:style>
  <w:style w:type="paragraph" w:customStyle="1" w:styleId="toclevel-4">
    <w:name w:val="toclevel-4"/>
    <w:basedOn w:val="Normal"/>
    <w:rsid w:val="00D3041E"/>
    <w:pPr>
      <w:spacing w:before="100" w:beforeAutospacing="1" w:after="100" w:afterAutospacing="1" w:line="240" w:lineRule="auto"/>
      <w:jc w:val="left"/>
    </w:pPr>
    <w:rPr>
      <w:rFonts w:eastAsia="Times New Roman" w:cs="Times New Roman"/>
      <w:sz w:val="24"/>
      <w:szCs w:val="24"/>
      <w:lang w:eastAsia="vi-VN"/>
    </w:rPr>
  </w:style>
  <w:style w:type="character" w:customStyle="1" w:styleId="toctext">
    <w:name w:val="toctext"/>
    <w:basedOn w:val="DefaultParagraphFont"/>
    <w:rsid w:val="00D3041E"/>
  </w:style>
  <w:style w:type="paragraph" w:customStyle="1" w:styleId="uk-ima-control-bar-remain-time">
    <w:name w:val="uk-ima-control-bar-remain-time"/>
    <w:basedOn w:val="Normal"/>
    <w:rsid w:val="00D3041E"/>
    <w:pPr>
      <w:spacing w:before="100" w:beforeAutospacing="1" w:after="100" w:afterAutospacing="1" w:line="240" w:lineRule="auto"/>
      <w:jc w:val="left"/>
    </w:pPr>
    <w:rPr>
      <w:rFonts w:eastAsia="Times New Roman" w:cs="Times New Roman"/>
      <w:sz w:val="24"/>
      <w:szCs w:val="24"/>
      <w:lang w:eastAsia="vi-VN"/>
    </w:rPr>
  </w:style>
  <w:style w:type="paragraph" w:styleId="ListParagraph">
    <w:name w:val="List Paragraph"/>
    <w:basedOn w:val="Normal"/>
    <w:uiPriority w:val="34"/>
    <w:qFormat/>
    <w:rsid w:val="0048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19500">
      <w:bodyDiv w:val="1"/>
      <w:marLeft w:val="0"/>
      <w:marRight w:val="0"/>
      <w:marTop w:val="0"/>
      <w:marBottom w:val="0"/>
      <w:divBdr>
        <w:top w:val="none" w:sz="0" w:space="0" w:color="auto"/>
        <w:left w:val="none" w:sz="0" w:space="0" w:color="auto"/>
        <w:bottom w:val="none" w:sz="0" w:space="0" w:color="auto"/>
        <w:right w:val="none" w:sz="0" w:space="0" w:color="auto"/>
      </w:divBdr>
    </w:div>
    <w:div w:id="713623404">
      <w:bodyDiv w:val="1"/>
      <w:marLeft w:val="0"/>
      <w:marRight w:val="0"/>
      <w:marTop w:val="0"/>
      <w:marBottom w:val="0"/>
      <w:divBdr>
        <w:top w:val="none" w:sz="0" w:space="0" w:color="auto"/>
        <w:left w:val="none" w:sz="0" w:space="0" w:color="auto"/>
        <w:bottom w:val="none" w:sz="0" w:space="0" w:color="auto"/>
        <w:right w:val="none" w:sz="0" w:space="0" w:color="auto"/>
      </w:divBdr>
      <w:divsChild>
        <w:div w:id="876235008">
          <w:blockQuote w:val="1"/>
          <w:marLeft w:val="720"/>
          <w:marRight w:val="0"/>
          <w:marTop w:val="0"/>
          <w:marBottom w:val="0"/>
          <w:divBdr>
            <w:top w:val="none" w:sz="0" w:space="0" w:color="auto"/>
            <w:left w:val="single" w:sz="18" w:space="12" w:color="CCCCCC"/>
            <w:bottom w:val="none" w:sz="0" w:space="0" w:color="auto"/>
            <w:right w:val="none" w:sz="0" w:space="0" w:color="auto"/>
          </w:divBdr>
        </w:div>
      </w:divsChild>
    </w:div>
    <w:div w:id="1415930425">
      <w:bodyDiv w:val="1"/>
      <w:marLeft w:val="0"/>
      <w:marRight w:val="0"/>
      <w:marTop w:val="0"/>
      <w:marBottom w:val="0"/>
      <w:divBdr>
        <w:top w:val="none" w:sz="0" w:space="0" w:color="auto"/>
        <w:left w:val="none" w:sz="0" w:space="0" w:color="auto"/>
        <w:bottom w:val="none" w:sz="0" w:space="0" w:color="auto"/>
        <w:right w:val="none" w:sz="0" w:space="0" w:color="auto"/>
      </w:divBdr>
    </w:div>
    <w:div w:id="1436554767">
      <w:bodyDiv w:val="1"/>
      <w:marLeft w:val="0"/>
      <w:marRight w:val="0"/>
      <w:marTop w:val="0"/>
      <w:marBottom w:val="0"/>
      <w:divBdr>
        <w:top w:val="none" w:sz="0" w:space="0" w:color="auto"/>
        <w:left w:val="none" w:sz="0" w:space="0" w:color="auto"/>
        <w:bottom w:val="none" w:sz="0" w:space="0" w:color="auto"/>
        <w:right w:val="none" w:sz="0" w:space="0" w:color="auto"/>
      </w:divBdr>
      <w:divsChild>
        <w:div w:id="320550279">
          <w:marLeft w:val="-1050"/>
          <w:marRight w:val="0"/>
          <w:marTop w:val="0"/>
          <w:marBottom w:val="180"/>
          <w:divBdr>
            <w:top w:val="none" w:sz="0" w:space="0" w:color="auto"/>
            <w:left w:val="none" w:sz="0" w:space="0" w:color="auto"/>
            <w:bottom w:val="none" w:sz="0" w:space="0" w:color="auto"/>
            <w:right w:val="none" w:sz="0" w:space="0" w:color="auto"/>
          </w:divBdr>
        </w:div>
        <w:div w:id="1143504373">
          <w:marLeft w:val="0"/>
          <w:marRight w:val="0"/>
          <w:marTop w:val="0"/>
          <w:marBottom w:val="240"/>
          <w:divBdr>
            <w:top w:val="none" w:sz="0" w:space="0" w:color="auto"/>
            <w:left w:val="none" w:sz="0" w:space="0" w:color="auto"/>
            <w:bottom w:val="none" w:sz="0" w:space="0" w:color="auto"/>
            <w:right w:val="none" w:sz="0" w:space="0" w:color="auto"/>
          </w:divBdr>
          <w:divsChild>
            <w:div w:id="328869330">
              <w:marLeft w:val="0"/>
              <w:marRight w:val="0"/>
              <w:marTop w:val="0"/>
              <w:marBottom w:val="0"/>
              <w:divBdr>
                <w:top w:val="none" w:sz="0" w:space="0" w:color="auto"/>
                <w:left w:val="none" w:sz="0" w:space="0" w:color="auto"/>
                <w:bottom w:val="none" w:sz="0" w:space="0" w:color="auto"/>
                <w:right w:val="none" w:sz="0" w:space="0" w:color="auto"/>
              </w:divBdr>
            </w:div>
            <w:div w:id="195579110">
              <w:marLeft w:val="0"/>
              <w:marRight w:val="0"/>
              <w:marTop w:val="0"/>
              <w:marBottom w:val="0"/>
              <w:divBdr>
                <w:top w:val="none" w:sz="0" w:space="0" w:color="auto"/>
                <w:left w:val="none" w:sz="0" w:space="0" w:color="auto"/>
                <w:bottom w:val="none" w:sz="0" w:space="0" w:color="auto"/>
                <w:right w:val="none" w:sz="0" w:space="0" w:color="auto"/>
              </w:divBdr>
            </w:div>
          </w:divsChild>
        </w:div>
        <w:div w:id="2114982554">
          <w:marLeft w:val="0"/>
          <w:marRight w:val="0"/>
          <w:marTop w:val="0"/>
          <w:marBottom w:val="0"/>
          <w:divBdr>
            <w:top w:val="none" w:sz="0" w:space="0" w:color="auto"/>
            <w:left w:val="none" w:sz="0" w:space="0" w:color="auto"/>
            <w:bottom w:val="none" w:sz="0" w:space="0" w:color="auto"/>
            <w:right w:val="none" w:sz="0" w:space="0" w:color="auto"/>
          </w:divBdr>
          <w:divsChild>
            <w:div w:id="903023628">
              <w:marLeft w:val="0"/>
              <w:marRight w:val="240"/>
              <w:marTop w:val="0"/>
              <w:marBottom w:val="0"/>
              <w:divBdr>
                <w:top w:val="none" w:sz="0" w:space="0" w:color="auto"/>
                <w:left w:val="none" w:sz="0" w:space="0" w:color="auto"/>
                <w:bottom w:val="none" w:sz="0" w:space="0" w:color="auto"/>
                <w:right w:val="none" w:sz="0" w:space="0" w:color="auto"/>
              </w:divBdr>
              <w:divsChild>
                <w:div w:id="1896312237">
                  <w:marLeft w:val="0"/>
                  <w:marRight w:val="0"/>
                  <w:marTop w:val="0"/>
                  <w:marBottom w:val="0"/>
                  <w:divBdr>
                    <w:top w:val="none" w:sz="0" w:space="0" w:color="auto"/>
                    <w:left w:val="none" w:sz="0" w:space="0" w:color="auto"/>
                    <w:bottom w:val="none" w:sz="0" w:space="0" w:color="auto"/>
                    <w:right w:val="none" w:sz="0" w:space="0" w:color="auto"/>
                  </w:divBdr>
                  <w:divsChild>
                    <w:div w:id="15507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8448">
              <w:marLeft w:val="0"/>
              <w:marRight w:val="0"/>
              <w:marTop w:val="0"/>
              <w:marBottom w:val="0"/>
              <w:divBdr>
                <w:top w:val="none" w:sz="0" w:space="0" w:color="auto"/>
                <w:left w:val="none" w:sz="0" w:space="0" w:color="auto"/>
                <w:bottom w:val="none" w:sz="0" w:space="0" w:color="auto"/>
                <w:right w:val="none" w:sz="0" w:space="0" w:color="auto"/>
              </w:divBdr>
              <w:divsChild>
                <w:div w:id="2139175686">
                  <w:marLeft w:val="0"/>
                  <w:marRight w:val="0"/>
                  <w:marTop w:val="0"/>
                  <w:marBottom w:val="0"/>
                  <w:divBdr>
                    <w:top w:val="none" w:sz="0" w:space="0" w:color="auto"/>
                    <w:left w:val="none" w:sz="0" w:space="0" w:color="auto"/>
                    <w:bottom w:val="none" w:sz="0" w:space="0" w:color="auto"/>
                    <w:right w:val="none" w:sz="0" w:space="0" w:color="auto"/>
                  </w:divBdr>
                  <w:divsChild>
                    <w:div w:id="10832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8601">
          <w:marLeft w:val="0"/>
          <w:marRight w:val="0"/>
          <w:marTop w:val="0"/>
          <w:marBottom w:val="240"/>
          <w:divBdr>
            <w:top w:val="none" w:sz="0" w:space="0" w:color="auto"/>
            <w:left w:val="none" w:sz="0" w:space="0" w:color="auto"/>
            <w:bottom w:val="none" w:sz="0" w:space="0" w:color="auto"/>
            <w:right w:val="none" w:sz="0" w:space="0" w:color="auto"/>
          </w:divBdr>
          <w:divsChild>
            <w:div w:id="45840882">
              <w:marLeft w:val="0"/>
              <w:marRight w:val="0"/>
              <w:marTop w:val="240"/>
              <w:marBottom w:val="240"/>
              <w:divBdr>
                <w:top w:val="single" w:sz="6" w:space="9" w:color="E0E0E0"/>
                <w:left w:val="single" w:sz="6" w:space="12" w:color="E0E0E0"/>
                <w:bottom w:val="single" w:sz="6" w:space="9" w:color="E0E0E0"/>
                <w:right w:val="single" w:sz="6" w:space="12" w:color="E0E0E0"/>
              </w:divBdr>
              <w:divsChild>
                <w:div w:id="1386681198">
                  <w:marLeft w:val="0"/>
                  <w:marRight w:val="0"/>
                  <w:marTop w:val="0"/>
                  <w:marBottom w:val="0"/>
                  <w:divBdr>
                    <w:top w:val="none" w:sz="0" w:space="0" w:color="auto"/>
                    <w:left w:val="none" w:sz="0" w:space="0" w:color="auto"/>
                    <w:bottom w:val="none" w:sz="0" w:space="0" w:color="auto"/>
                    <w:right w:val="none" w:sz="0" w:space="0" w:color="auto"/>
                  </w:divBdr>
                </w:div>
              </w:divsChild>
            </w:div>
            <w:div w:id="1326739631">
              <w:marLeft w:val="0"/>
              <w:marRight w:val="0"/>
              <w:marTop w:val="0"/>
              <w:marBottom w:val="0"/>
              <w:divBdr>
                <w:top w:val="none" w:sz="0" w:space="0" w:color="auto"/>
                <w:left w:val="none" w:sz="0" w:space="0" w:color="auto"/>
                <w:bottom w:val="none" w:sz="0" w:space="0" w:color="auto"/>
                <w:right w:val="none" w:sz="0" w:space="0" w:color="auto"/>
              </w:divBdr>
              <w:divsChild>
                <w:div w:id="2009482530">
                  <w:marLeft w:val="0"/>
                  <w:marRight w:val="0"/>
                  <w:marTop w:val="0"/>
                  <w:marBottom w:val="0"/>
                  <w:divBdr>
                    <w:top w:val="none" w:sz="0" w:space="0" w:color="auto"/>
                    <w:left w:val="none" w:sz="0" w:space="0" w:color="auto"/>
                    <w:bottom w:val="none" w:sz="0" w:space="0" w:color="auto"/>
                    <w:right w:val="none" w:sz="0" w:space="0" w:color="auto"/>
                  </w:divBdr>
                  <w:divsChild>
                    <w:div w:id="323045034">
                      <w:marLeft w:val="0"/>
                      <w:marRight w:val="0"/>
                      <w:marTop w:val="0"/>
                      <w:marBottom w:val="0"/>
                      <w:divBdr>
                        <w:top w:val="none" w:sz="0" w:space="0" w:color="auto"/>
                        <w:left w:val="none" w:sz="0" w:space="0" w:color="auto"/>
                        <w:bottom w:val="none" w:sz="0" w:space="0" w:color="auto"/>
                        <w:right w:val="none" w:sz="0" w:space="0" w:color="auto"/>
                      </w:divBdr>
                      <w:divsChild>
                        <w:div w:id="2091467067">
                          <w:marLeft w:val="0"/>
                          <w:marRight w:val="0"/>
                          <w:marTop w:val="0"/>
                          <w:marBottom w:val="0"/>
                          <w:divBdr>
                            <w:top w:val="none" w:sz="0" w:space="0" w:color="auto"/>
                            <w:left w:val="none" w:sz="0" w:space="0" w:color="auto"/>
                            <w:bottom w:val="none" w:sz="0" w:space="0" w:color="auto"/>
                            <w:right w:val="none" w:sz="0" w:space="0" w:color="auto"/>
                          </w:divBdr>
                          <w:divsChild>
                            <w:div w:id="1611889859">
                              <w:marLeft w:val="0"/>
                              <w:marRight w:val="0"/>
                              <w:marTop w:val="0"/>
                              <w:marBottom w:val="0"/>
                              <w:divBdr>
                                <w:top w:val="none" w:sz="0" w:space="0" w:color="auto"/>
                                <w:left w:val="none" w:sz="0" w:space="0" w:color="auto"/>
                                <w:bottom w:val="none" w:sz="0" w:space="0" w:color="auto"/>
                                <w:right w:val="none" w:sz="0" w:space="0" w:color="auto"/>
                              </w:divBdr>
                              <w:divsChild>
                                <w:div w:id="1548645803">
                                  <w:marLeft w:val="0"/>
                                  <w:marRight w:val="0"/>
                                  <w:marTop w:val="0"/>
                                  <w:marBottom w:val="0"/>
                                  <w:divBdr>
                                    <w:top w:val="none" w:sz="0" w:space="0" w:color="auto"/>
                                    <w:left w:val="none" w:sz="0" w:space="0" w:color="auto"/>
                                    <w:bottom w:val="none" w:sz="0" w:space="0" w:color="auto"/>
                                    <w:right w:val="none" w:sz="0" w:space="0" w:color="auto"/>
                                  </w:divBdr>
                                </w:div>
                                <w:div w:id="14281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Lê Nhân Nguyễn</cp:lastModifiedBy>
  <cp:revision>3</cp:revision>
  <dcterms:created xsi:type="dcterms:W3CDTF">2022-09-10T01:28:00Z</dcterms:created>
  <dcterms:modified xsi:type="dcterms:W3CDTF">2022-09-17T05:33:00Z</dcterms:modified>
</cp:coreProperties>
</file>