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B48" w:rsidRDefault="00714107" w:rsidP="00A77225">
      <w:pPr>
        <w:shd w:val="clear" w:color="auto" w:fill="FFFFFF"/>
        <w:spacing w:after="150" w:line="288" w:lineRule="auto"/>
        <w:jc w:val="center"/>
        <w:rPr>
          <w:rFonts w:ascii="Times New Roman" w:eastAsia="Times New Roman" w:hAnsi="Times New Roman" w:cs="Times New Roman"/>
          <w:b/>
          <w:bCs/>
          <w:color w:val="000000" w:themeColor="text1"/>
          <w:kern w:val="0"/>
          <w:sz w:val="26"/>
          <w:szCs w:val="26"/>
          <w14:ligatures w14:val="none"/>
        </w:rPr>
      </w:pPr>
      <w:r>
        <w:rPr>
          <w:rFonts w:ascii="Times New Roman" w:eastAsia="Times New Roman" w:hAnsi="Times New Roman" w:cs="Times New Roman"/>
          <w:b/>
          <w:bCs/>
          <w:color w:val="000000" w:themeColor="text1"/>
          <w:kern w:val="0"/>
          <w:sz w:val="26"/>
          <w:szCs w:val="26"/>
          <w14:ligatures w14:val="none"/>
        </w:rPr>
        <w:t>MỘT</w:t>
      </w:r>
      <w:r>
        <w:rPr>
          <w:rFonts w:ascii="Times New Roman" w:eastAsia="Times New Roman" w:hAnsi="Times New Roman" w:cs="Times New Roman"/>
          <w:b/>
          <w:bCs/>
          <w:color w:val="000000" w:themeColor="text1"/>
          <w:kern w:val="0"/>
          <w:sz w:val="26"/>
          <w:szCs w:val="26"/>
          <w:lang w:val="vi-VN"/>
          <w14:ligatures w14:val="none"/>
        </w:rPr>
        <w:t xml:space="preserve"> SỐ ĐIỂM MỚI CỦA THÔNG TƯ </w:t>
      </w:r>
      <w:r w:rsidR="00205B48" w:rsidRPr="00205B48">
        <w:rPr>
          <w:rFonts w:ascii="Times New Roman" w:eastAsia="Times New Roman" w:hAnsi="Times New Roman" w:cs="Times New Roman"/>
          <w:b/>
          <w:bCs/>
          <w:color w:val="000000" w:themeColor="text1"/>
          <w:kern w:val="0"/>
          <w:sz w:val="26"/>
          <w:szCs w:val="26"/>
          <w14:ligatures w14:val="none"/>
        </w:rPr>
        <w:t>24/2024/TT-BTC</w:t>
      </w:r>
    </w:p>
    <w:p w:rsidR="00714107" w:rsidRPr="00205B48" w:rsidRDefault="00714107" w:rsidP="00A77225">
      <w:pPr>
        <w:shd w:val="clear" w:color="auto" w:fill="FFFFFF"/>
        <w:spacing w:after="150" w:line="288" w:lineRule="auto"/>
        <w:jc w:val="both"/>
        <w:rPr>
          <w:rFonts w:ascii="Times New Roman" w:eastAsia="Times New Roman" w:hAnsi="Times New Roman" w:cs="Times New Roman"/>
          <w:b/>
          <w:bCs/>
          <w:color w:val="000000" w:themeColor="text1"/>
          <w:kern w:val="0"/>
          <w:sz w:val="26"/>
          <w:szCs w:val="26"/>
          <w14:ligatures w14:val="none"/>
        </w:rPr>
      </w:pPr>
    </w:p>
    <w:p w:rsidR="00714107"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xml:space="preserve">    </w:t>
      </w:r>
      <w:r w:rsidR="00714107" w:rsidRPr="00205B48">
        <w:rPr>
          <w:rFonts w:ascii="Times New Roman" w:eastAsia="Times New Roman" w:hAnsi="Times New Roman" w:cs="Times New Roman"/>
          <w:color w:val="000000" w:themeColor="text1"/>
          <w:kern w:val="0"/>
          <w:sz w:val="26"/>
          <w:szCs w:val="26"/>
          <w14:ligatures w14:val="none"/>
        </w:rPr>
        <w:t>Ngày 17/04/2024, Bộ Tài chính đã ban hành Thông tư 24/2024/TT-BTC hướng dẫn chế độ kế toán hành chính, sự nghiệ</w:t>
      </w:r>
      <w:r w:rsidR="00714107">
        <w:rPr>
          <w:rFonts w:ascii="Times New Roman" w:eastAsia="Times New Roman" w:hAnsi="Times New Roman" w:cs="Times New Roman"/>
          <w:color w:val="000000" w:themeColor="text1"/>
          <w:kern w:val="0"/>
          <w:sz w:val="26"/>
          <w:szCs w:val="26"/>
          <w:lang w:val="vi-VN"/>
          <w14:ligatures w14:val="none"/>
        </w:rPr>
        <w:t>p</w:t>
      </w:r>
    </w:p>
    <w:p w:rsidR="00205B48" w:rsidRPr="00205B48" w:rsidRDefault="00714107" w:rsidP="00A77225">
      <w:pPr>
        <w:shd w:val="clear" w:color="auto" w:fill="FFFFFF"/>
        <w:spacing w:line="288" w:lineRule="auto"/>
        <w:jc w:val="both"/>
        <w:rPr>
          <w:rFonts w:ascii="Times New Roman" w:eastAsia="Times New Roman" w:hAnsi="Times New Roman" w:cs="Times New Roman"/>
          <w:b/>
          <w:bCs/>
          <w:color w:val="000000" w:themeColor="text1"/>
          <w:kern w:val="0"/>
          <w:sz w:val="26"/>
          <w:szCs w:val="26"/>
          <w14:ligatures w14:val="none"/>
        </w:rPr>
      </w:pPr>
      <w:r w:rsidRPr="00205B48">
        <w:rPr>
          <w:rFonts w:ascii="Times New Roman" w:eastAsia="Times New Roman" w:hAnsi="Times New Roman" w:cs="Times New Roman"/>
          <w:b/>
          <w:bCs/>
          <w:color w:val="000000" w:themeColor="text1"/>
          <w:kern w:val="0"/>
          <w:sz w:val="26"/>
          <w:szCs w:val="26"/>
          <w14:ligatures w14:val="none"/>
        </w:rPr>
        <w:t>(1) Nguyên tắc và yêu cầu lập báo cáo tài chín</w:t>
      </w:r>
      <w:r w:rsidRPr="00714107">
        <w:rPr>
          <w:rFonts w:ascii="Times New Roman" w:eastAsia="Times New Roman" w:hAnsi="Times New Roman" w:cs="Times New Roman"/>
          <w:b/>
          <w:bCs/>
          <w:color w:val="000000" w:themeColor="text1"/>
          <w:kern w:val="0"/>
          <w:sz w:val="26"/>
          <w:szCs w:val="26"/>
          <w:lang w:val="vi-VN"/>
          <w14:ligatures w14:val="none"/>
        </w:rPr>
        <w:t>h</w:t>
      </w:r>
      <w:r w:rsidR="00205B48" w:rsidRPr="00205B48">
        <w:rPr>
          <w:rFonts w:ascii="Times New Roman" w:eastAsia="Times New Roman" w:hAnsi="Times New Roman" w:cs="Times New Roman"/>
          <w:b/>
          <w:bCs/>
          <w:color w:val="000000" w:themeColor="text1"/>
          <w:kern w:val="0"/>
          <w:sz w:val="26"/>
          <w:szCs w:val="26"/>
          <w14:ligatures w14:val="none"/>
        </w:rPr>
        <w:fldChar w:fldCharType="begin"/>
      </w:r>
      <w:r w:rsidR="00205B48" w:rsidRPr="00205B48">
        <w:rPr>
          <w:rFonts w:ascii="Times New Roman" w:eastAsia="Times New Roman" w:hAnsi="Times New Roman" w:cs="Times New Roman"/>
          <w:b/>
          <w:bCs/>
          <w:color w:val="000000" w:themeColor="text1"/>
          <w:kern w:val="0"/>
          <w:sz w:val="26"/>
          <w:szCs w:val="26"/>
          <w14:ligatures w14:val="none"/>
        </w:rPr>
        <w:instrText>HYPERLINK "https://thuvienphapluat.vn/cong-dong-dan-luat/thanh-vien/phucpham2205"</w:instrText>
      </w:r>
      <w:r w:rsidR="00205B48" w:rsidRPr="00205B48">
        <w:rPr>
          <w:rFonts w:ascii="Times New Roman" w:eastAsia="Times New Roman" w:hAnsi="Times New Roman" w:cs="Times New Roman"/>
          <w:b/>
          <w:bCs/>
          <w:color w:val="000000" w:themeColor="text1"/>
          <w:kern w:val="0"/>
          <w:sz w:val="26"/>
          <w:szCs w:val="26"/>
          <w14:ligatures w14:val="none"/>
        </w:rPr>
      </w:r>
      <w:r w:rsidR="00205B48" w:rsidRPr="00205B48">
        <w:rPr>
          <w:rFonts w:ascii="Times New Roman" w:eastAsia="Times New Roman" w:hAnsi="Times New Roman" w:cs="Times New Roman"/>
          <w:b/>
          <w:bCs/>
          <w:color w:val="000000" w:themeColor="text1"/>
          <w:kern w:val="0"/>
          <w:sz w:val="26"/>
          <w:szCs w:val="26"/>
          <w14:ligatures w14:val="none"/>
        </w:rPr>
        <w:fldChar w:fldCharType="separate"/>
      </w:r>
    </w:p>
    <w:p w:rsidR="00714107" w:rsidRDefault="00205B48"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b/>
          <w:bCs/>
          <w:color w:val="000000" w:themeColor="text1"/>
          <w:kern w:val="0"/>
          <w:sz w:val="26"/>
          <w:szCs w:val="26"/>
          <w14:ligatures w14:val="none"/>
        </w:rPr>
        <w:fldChar w:fldCharType="end"/>
      </w:r>
      <w:r w:rsidR="00714107" w:rsidRPr="00205B48">
        <w:rPr>
          <w:rFonts w:ascii="Times New Roman" w:eastAsia="Times New Roman" w:hAnsi="Times New Roman" w:cs="Times New Roman"/>
          <w:color w:val="000000" w:themeColor="text1"/>
          <w:kern w:val="0"/>
          <w:sz w:val="26"/>
          <w:szCs w:val="26"/>
          <w14:ligatures w14:val="none"/>
        </w:rPr>
        <w:t>Tại Khoản 4 Điều 9 Thông tư 24/2024/TT-BTC quy định về nguyên tắc và yêu cầu lập báo cáo tài chính như s</w:t>
      </w:r>
      <w:r w:rsidR="00714107">
        <w:rPr>
          <w:rFonts w:ascii="Times New Roman" w:eastAsia="Times New Roman" w:hAnsi="Times New Roman" w:cs="Times New Roman"/>
          <w:color w:val="000000" w:themeColor="text1"/>
          <w:kern w:val="0"/>
          <w:sz w:val="26"/>
          <w:szCs w:val="26"/>
          <w14:ligatures w14:val="none"/>
        </w:rPr>
        <w:t>au</w:t>
      </w:r>
      <w:r w:rsidR="00714107">
        <w:rPr>
          <w:rFonts w:ascii="Times New Roman" w:eastAsia="Times New Roman" w:hAnsi="Times New Roman" w:cs="Times New Roman"/>
          <w:color w:val="000000" w:themeColor="text1"/>
          <w:kern w:val="0"/>
          <w:sz w:val="26"/>
          <w:szCs w:val="26"/>
          <w:lang w:val="vi-VN"/>
          <w14:ligatures w14:val="none"/>
        </w:rPr>
        <w:t>:</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Phải được lập trên căn cứ thông tin, số liệu kế toán sau khi đã khóa sổ kế toá</w:t>
      </w:r>
      <w:r>
        <w:rPr>
          <w:rFonts w:ascii="Times New Roman" w:eastAsia="Times New Roman" w:hAnsi="Times New Roman" w:cs="Times New Roman"/>
          <w:color w:val="000000" w:themeColor="text1"/>
          <w:kern w:val="0"/>
          <w:sz w:val="26"/>
          <w:szCs w:val="26"/>
          <w:lang w:val="vi-VN"/>
          <w14:ligatures w14:val="none"/>
        </w:rPr>
        <w:t>n.</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Phải được lập đúng nguyên tắc, nội dung và phương pháp theo quy định và được trình bày nhất quán giữa các kỳ kế toán. Trường hợp trình bày không nhất quán, thì đơn vị kế toán phải thuyết minh rõ lý d</w:t>
      </w:r>
      <w:r>
        <w:rPr>
          <w:rFonts w:ascii="Times New Roman" w:eastAsia="Times New Roman" w:hAnsi="Times New Roman" w:cs="Times New Roman"/>
          <w:color w:val="000000" w:themeColor="text1"/>
          <w:kern w:val="0"/>
          <w:sz w:val="26"/>
          <w:szCs w:val="26"/>
          <w:lang w:val="vi-VN"/>
          <w14:ligatures w14:val="none"/>
        </w:rPr>
        <w:t>o</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Phải được phản ánh một cách trung thực, khách quan về nội dung và giá trị các chỉ tiêu báo cáo. Đồng thời, phải trình bày theo một cấu trúc chặt chẽ, có hệ thống về tình hình tài chính, kết quả hoạt động và các luồng tiền từ hoạt động của đơn vị kế toán. Đơn vị kế toán phải thuyết minh đầy đủ các thông tin, số liệu đã trình bày trên Báo cáo tình hình tài chính, Báo cáo kết quả hoạt động, Báo cáo lưu chuyển tiền tệ theo quy định</w:t>
      </w:r>
      <w:r>
        <w:rPr>
          <w:rFonts w:ascii="Times New Roman" w:eastAsia="Times New Roman" w:hAnsi="Times New Roman" w:cs="Times New Roman"/>
          <w:color w:val="000000" w:themeColor="text1"/>
          <w:kern w:val="0"/>
          <w:sz w:val="26"/>
          <w:szCs w:val="26"/>
          <w:lang w:val="vi-VN"/>
          <w14:ligatures w14:val="none"/>
        </w:rPr>
        <w:t xml:space="preserve"> tại thông tư 2</w:t>
      </w:r>
      <w:r w:rsidR="00A77225">
        <w:rPr>
          <w:rFonts w:ascii="Times New Roman" w:eastAsia="Times New Roman" w:hAnsi="Times New Roman" w:cs="Times New Roman"/>
          <w:color w:val="000000" w:themeColor="text1"/>
          <w:kern w:val="0"/>
          <w:sz w:val="26"/>
          <w:szCs w:val="26"/>
          <w:lang w:val="vi-VN"/>
          <w14:ligatures w14:val="none"/>
        </w:rPr>
        <w:t>4</w:t>
      </w:r>
      <w:r>
        <w:rPr>
          <w:rFonts w:ascii="Times New Roman" w:eastAsia="Times New Roman" w:hAnsi="Times New Roman" w:cs="Times New Roman"/>
          <w:color w:val="000000" w:themeColor="text1"/>
          <w:kern w:val="0"/>
          <w:sz w:val="26"/>
          <w:szCs w:val="26"/>
          <w:lang w:val="vi-VN"/>
          <w14:ligatures w14:val="none"/>
        </w:rPr>
        <w:t>/2024/TT-BTC.</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Thông tin, số liệu trình bày phải bao gồm toàn bộ các nghiệp vụ kinh tế, tài chính phát sinh trong phạm vi đơn vị kế toán. Số liệu trình bày trên các chỉ tiêu của báo cáo tài chính phải phù hợp và thống nhất với số liệu đã ghi sổ kế toán các tài khoản tương ứn</w:t>
      </w:r>
      <w:r>
        <w:rPr>
          <w:rFonts w:ascii="Times New Roman" w:eastAsia="Times New Roman" w:hAnsi="Times New Roman" w:cs="Times New Roman"/>
          <w:color w:val="000000" w:themeColor="text1"/>
          <w:kern w:val="0"/>
          <w:sz w:val="26"/>
          <w:szCs w:val="26"/>
          <w:lang w:val="vi-VN"/>
          <w14:ligatures w14:val="none"/>
        </w:rPr>
        <w:t>g.</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Việc bỏ sót thông tin, số liệu các nghiệp vụ kinh tế, tài chính phát sinh trong năm không trình bày trên báo cáo tài chính của đơn vị kế toán được coi là hành vi để ngoài sổ kế toá</w:t>
      </w:r>
      <w:r>
        <w:rPr>
          <w:rFonts w:ascii="Times New Roman" w:eastAsia="Times New Roman" w:hAnsi="Times New Roman" w:cs="Times New Roman"/>
          <w:color w:val="000000" w:themeColor="text1"/>
          <w:kern w:val="0"/>
          <w:sz w:val="26"/>
          <w:szCs w:val="26"/>
          <w:lang w:val="vi-VN"/>
          <w14:ligatures w14:val="none"/>
        </w:rPr>
        <w:t>n.</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Phải bao gồm thông tin tài chính của bản thân đơn vị kế toán và các đơn vị hạch toán phụ thuộc. Riêng các giao dịch nội bộ phát sinh trong năm của đơn vị kế toán phải được loại trừ hết trước khi lập báo cáo tài chính theo quy định tại Thông tư n</w:t>
      </w:r>
      <w:r>
        <w:rPr>
          <w:rFonts w:ascii="Times New Roman" w:eastAsia="Times New Roman" w:hAnsi="Times New Roman" w:cs="Times New Roman"/>
          <w:color w:val="000000" w:themeColor="text1"/>
          <w:kern w:val="0"/>
          <w:sz w:val="26"/>
          <w:szCs w:val="26"/>
          <w14:ligatures w14:val="none"/>
        </w:rPr>
        <w:t>ày</w:t>
      </w:r>
      <w:r>
        <w:rPr>
          <w:rFonts w:ascii="Times New Roman" w:eastAsia="Times New Roman" w:hAnsi="Times New Roman" w:cs="Times New Roman"/>
          <w:color w:val="000000" w:themeColor="text1"/>
          <w:kern w:val="0"/>
          <w:sz w:val="26"/>
          <w:szCs w:val="26"/>
          <w:lang w:val="vi-VN"/>
          <w14:ligatures w14:val="none"/>
        </w:rPr>
        <w:t>.</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Phải được lập kịp thời, đúng thời gian quy định, nội dung thông tin, số liệu phải được trình bày rõ ràng, dễ hiểu, tin cậy, thông tin, số liệu phải được phản ánh liên tục, số liệu của kỳ này phải kế tiếp số liệu của kỳ trướ</w:t>
      </w:r>
      <w:r>
        <w:rPr>
          <w:rFonts w:ascii="Times New Roman" w:eastAsia="Times New Roman" w:hAnsi="Times New Roman" w:cs="Times New Roman"/>
          <w:color w:val="000000" w:themeColor="text1"/>
          <w:kern w:val="0"/>
          <w:sz w:val="26"/>
          <w:szCs w:val="26"/>
          <w:lang w:val="vi-VN"/>
          <w14:ligatures w14:val="none"/>
        </w:rPr>
        <w:t>c.</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Nghiêm cấm mọi hành vi can thiệp làm thay đổi thông tin, số liệu trình bày trên báo cáo tài chính đã được nộp cho cơ quan có thẩm quyền hoặc đã được công kha</w:t>
      </w:r>
      <w:r>
        <w:rPr>
          <w:rFonts w:ascii="Times New Roman" w:eastAsia="Times New Roman" w:hAnsi="Times New Roman" w:cs="Times New Roman"/>
          <w:color w:val="000000" w:themeColor="text1"/>
          <w:kern w:val="0"/>
          <w:sz w:val="26"/>
          <w:szCs w:val="26"/>
          <w:lang w:val="vi-VN"/>
          <w14:ligatures w14:val="none"/>
        </w:rPr>
        <w:t>i.</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xml:space="preserve">Trường hợp phải điều chỉnh thông tin, số liệu trình bày trên báo cáo tài chính đã được nộp hoặc đã được công khai, thì phải đảm bảo các nguyên tắc điều chỉnh thông tin, số liệu theo quy định tại </w:t>
      </w:r>
      <w:r>
        <w:rPr>
          <w:rFonts w:ascii="Times New Roman" w:eastAsia="Times New Roman" w:hAnsi="Times New Roman" w:cs="Times New Roman"/>
          <w:color w:val="000000" w:themeColor="text1"/>
          <w:kern w:val="0"/>
          <w:sz w:val="26"/>
          <w:szCs w:val="26"/>
          <w:lang w:val="vi-VN"/>
          <w14:ligatures w14:val="none"/>
        </w:rPr>
        <w:t>thông tư 2</w:t>
      </w:r>
      <w:r w:rsidR="00A77225">
        <w:rPr>
          <w:rFonts w:ascii="Times New Roman" w:eastAsia="Times New Roman" w:hAnsi="Times New Roman" w:cs="Times New Roman"/>
          <w:color w:val="000000" w:themeColor="text1"/>
          <w:kern w:val="0"/>
          <w:sz w:val="26"/>
          <w:szCs w:val="26"/>
          <w:lang w:val="vi-VN"/>
          <w14:ligatures w14:val="none"/>
        </w:rPr>
        <w:t>4</w:t>
      </w:r>
      <w:r>
        <w:rPr>
          <w:rFonts w:ascii="Times New Roman" w:eastAsia="Times New Roman" w:hAnsi="Times New Roman" w:cs="Times New Roman"/>
          <w:color w:val="000000" w:themeColor="text1"/>
          <w:kern w:val="0"/>
          <w:sz w:val="26"/>
          <w:szCs w:val="26"/>
          <w:lang w:val="vi-VN"/>
          <w14:ligatures w14:val="none"/>
        </w:rPr>
        <w:t>/2024/TT-BTC.</w:t>
      </w:r>
      <w:r w:rsidRPr="00205B48">
        <w:rPr>
          <w:rFonts w:ascii="Times New Roman" w:eastAsia="Times New Roman" w:hAnsi="Times New Roman" w:cs="Times New Roman"/>
          <w:color w:val="000000" w:themeColor="text1"/>
          <w:kern w:val="0"/>
          <w:sz w:val="26"/>
          <w:szCs w:val="26"/>
          <w14:ligatures w14:val="none"/>
        </w:rPr>
        <w:t>và các văn bản hướng dẫn có liên qua</w:t>
      </w:r>
      <w:r>
        <w:rPr>
          <w:rFonts w:ascii="Times New Roman" w:eastAsia="Times New Roman" w:hAnsi="Times New Roman" w:cs="Times New Roman"/>
          <w:color w:val="000000" w:themeColor="text1"/>
          <w:kern w:val="0"/>
          <w:sz w:val="26"/>
          <w:szCs w:val="26"/>
          <w:lang w:val="vi-VN"/>
          <w14:ligatures w14:val="none"/>
        </w:rPr>
        <w:t>n.</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Bên cạnh đó, cũng quy định đơn vị kế toán phải lập báo cáo tài chính năm cho kỳ kế toán kết thúc vào ngày 31/12 theo quy định của</w:t>
      </w:r>
      <w:r>
        <w:rPr>
          <w:rFonts w:ascii="Times New Roman" w:eastAsia="Times New Roman" w:hAnsi="Times New Roman" w:cs="Times New Roman"/>
          <w:color w:val="000000" w:themeColor="text1"/>
          <w:kern w:val="0"/>
          <w:sz w:val="26"/>
          <w:szCs w:val="26"/>
          <w:lang w:val="vi-VN"/>
          <w14:ligatures w14:val="none"/>
        </w:rPr>
        <w:t xml:space="preserve"> Luật Kế toán 2015.</w:t>
      </w: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lastRenderedPageBreak/>
        <w:t>Báo cáo tài chính phải được nộp trong thời hạn 90 ngày tính từ ngày kết thúc kỳ kế toán năm theo quy địn</w:t>
      </w:r>
      <w:r>
        <w:rPr>
          <w:rFonts w:ascii="Times New Roman" w:eastAsia="Times New Roman" w:hAnsi="Times New Roman" w:cs="Times New Roman"/>
          <w:color w:val="000000" w:themeColor="text1"/>
          <w:kern w:val="0"/>
          <w:sz w:val="26"/>
          <w:szCs w:val="26"/>
          <w:lang w:val="vi-VN"/>
          <w14:ligatures w14:val="none"/>
        </w:rPr>
        <w:t>h.</w:t>
      </w:r>
    </w:p>
    <w:p w:rsidR="00714107" w:rsidRDefault="00714107" w:rsidP="00A77225">
      <w:pPr>
        <w:shd w:val="clear" w:color="auto" w:fill="FFFFFF"/>
        <w:spacing w:line="288" w:lineRule="auto"/>
        <w:jc w:val="both"/>
        <w:rPr>
          <w:rFonts w:ascii="Times New Roman" w:eastAsia="Times New Roman" w:hAnsi="Times New Roman" w:cs="Times New Roman"/>
          <w:b/>
          <w:bCs/>
          <w:color w:val="000000" w:themeColor="text1"/>
          <w:kern w:val="0"/>
          <w:sz w:val="26"/>
          <w:szCs w:val="26"/>
          <w:lang w:val="vi-VN"/>
          <w14:ligatures w14:val="none"/>
        </w:rPr>
      </w:pPr>
      <w:r w:rsidRPr="00205B48">
        <w:rPr>
          <w:rFonts w:ascii="Times New Roman" w:eastAsia="Times New Roman" w:hAnsi="Times New Roman" w:cs="Times New Roman"/>
          <w:b/>
          <w:bCs/>
          <w:color w:val="000000" w:themeColor="text1"/>
          <w:kern w:val="0"/>
          <w:sz w:val="26"/>
          <w:szCs w:val="26"/>
          <w14:ligatures w14:val="none"/>
        </w:rPr>
        <w:t>(2) Sửa chữa thông tin, số liệu trên sổ kế toá</w:t>
      </w:r>
      <w:r>
        <w:rPr>
          <w:rFonts w:ascii="Times New Roman" w:eastAsia="Times New Roman" w:hAnsi="Times New Roman" w:cs="Times New Roman"/>
          <w:b/>
          <w:bCs/>
          <w:color w:val="000000" w:themeColor="text1"/>
          <w:kern w:val="0"/>
          <w:sz w:val="26"/>
          <w:szCs w:val="26"/>
          <w:lang w:val="vi-VN"/>
          <w14:ligatures w14:val="none"/>
        </w:rPr>
        <w:t>n</w:t>
      </w:r>
    </w:p>
    <w:p w:rsidR="00714107"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xml:space="preserve">Theo Điều 7 </w:t>
      </w:r>
      <w:r>
        <w:rPr>
          <w:rFonts w:ascii="Times New Roman" w:eastAsia="Times New Roman" w:hAnsi="Times New Roman" w:cs="Times New Roman"/>
          <w:color w:val="000000" w:themeColor="text1"/>
          <w:kern w:val="0"/>
          <w:sz w:val="26"/>
          <w:szCs w:val="26"/>
          <w:lang w:val="vi-VN"/>
          <w14:ligatures w14:val="none"/>
        </w:rPr>
        <w:t>thông tư 2</w:t>
      </w:r>
      <w:r>
        <w:rPr>
          <w:rFonts w:ascii="Times New Roman" w:eastAsia="Times New Roman" w:hAnsi="Times New Roman" w:cs="Times New Roman"/>
          <w:color w:val="000000" w:themeColor="text1"/>
          <w:kern w:val="0"/>
          <w:sz w:val="26"/>
          <w:szCs w:val="26"/>
          <w:lang w:val="vi-VN"/>
          <w14:ligatures w14:val="none"/>
        </w:rPr>
        <w:t>4</w:t>
      </w:r>
      <w:r>
        <w:rPr>
          <w:rFonts w:ascii="Times New Roman" w:eastAsia="Times New Roman" w:hAnsi="Times New Roman" w:cs="Times New Roman"/>
          <w:color w:val="000000" w:themeColor="text1"/>
          <w:kern w:val="0"/>
          <w:sz w:val="26"/>
          <w:szCs w:val="26"/>
          <w:lang w:val="vi-VN"/>
          <w14:ligatures w14:val="none"/>
        </w:rPr>
        <w:t>/2024/TT-BTC</w:t>
      </w:r>
      <w:r>
        <w:rPr>
          <w:rFonts w:ascii="Times New Roman" w:eastAsia="Times New Roman" w:hAnsi="Times New Roman" w:cs="Times New Roman"/>
          <w:color w:val="000000" w:themeColor="text1"/>
          <w:kern w:val="0"/>
          <w:sz w:val="26"/>
          <w:szCs w:val="26"/>
          <w:lang w:val="vi-VN"/>
          <w14:ligatures w14:val="none"/>
        </w:rPr>
        <w:t xml:space="preserve"> </w:t>
      </w:r>
      <w:r w:rsidRPr="00205B48">
        <w:rPr>
          <w:rFonts w:ascii="Times New Roman" w:eastAsia="Times New Roman" w:hAnsi="Times New Roman" w:cs="Times New Roman"/>
          <w:color w:val="000000" w:themeColor="text1"/>
          <w:kern w:val="0"/>
          <w:sz w:val="26"/>
          <w:szCs w:val="26"/>
          <w14:ligatures w14:val="none"/>
        </w:rPr>
        <w:t>quy định về sửa chữa thông tin, số liệu trên sổ kế toán như sa</w:t>
      </w:r>
      <w:r>
        <w:rPr>
          <w:rFonts w:ascii="Times New Roman" w:eastAsia="Times New Roman" w:hAnsi="Times New Roman" w:cs="Times New Roman"/>
          <w:color w:val="000000" w:themeColor="text1"/>
          <w:kern w:val="0"/>
          <w:sz w:val="26"/>
          <w:szCs w:val="26"/>
          <w:lang w:val="vi-VN"/>
          <w14:ligatures w14:val="none"/>
        </w:rPr>
        <w:t>u:</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b/>
          <w:bCs/>
          <w:i/>
          <w:iCs/>
          <w:color w:val="000000" w:themeColor="text1"/>
          <w:kern w:val="0"/>
          <w:sz w:val="26"/>
          <w:szCs w:val="26"/>
          <w14:ligatures w14:val="none"/>
        </w:rPr>
        <w:t xml:space="preserve">Giai đoạn từ 01/01 đến 31/12 (trong năm): </w:t>
      </w:r>
      <w:r w:rsidRPr="00205B48">
        <w:rPr>
          <w:rFonts w:ascii="Times New Roman" w:eastAsia="Times New Roman" w:hAnsi="Times New Roman" w:cs="Times New Roman"/>
          <w:color w:val="000000" w:themeColor="text1"/>
          <w:kern w:val="0"/>
          <w:sz w:val="26"/>
          <w:szCs w:val="26"/>
          <w14:ligatures w14:val="none"/>
        </w:rPr>
        <w:t>Theo đó, khi phát hiện có sai sót đã được ghi sổ kế toán trong năm thì đơn vị điều chỉnh, sửa chữa vào sổ kế toán của năm hiện tạ</w:t>
      </w:r>
      <w:r>
        <w:rPr>
          <w:rFonts w:ascii="Times New Roman" w:eastAsia="Times New Roman" w:hAnsi="Times New Roman" w:cs="Times New Roman"/>
          <w:color w:val="000000" w:themeColor="text1"/>
          <w:kern w:val="0"/>
          <w:sz w:val="26"/>
          <w:szCs w:val="26"/>
          <w:lang w:val="vi-VN"/>
          <w14:ligatures w14:val="none"/>
        </w:rPr>
        <w:t>i.</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Trường hợp các sai sót phát hiện liên quan đến cả thông tin, số liệu đã hạch toán tài khoản trong bảng và tài khoản ngoài bảng, thì ngoài việc điều chỉnh, sửa chữa thông tin, số liệu đã hạch toán tài khoản trong bảng phải đồng thời điều chỉnh, sửa chữa thông tin, số liệu đã hạch toán tài khoản ngoài bảng, đảm bảo chính xác, khớp đúng</w:t>
      </w:r>
      <w:r w:rsidR="00C041DB">
        <w:rPr>
          <w:rFonts w:ascii="Times New Roman" w:eastAsia="Times New Roman" w:hAnsi="Times New Roman" w:cs="Times New Roman"/>
          <w:color w:val="000000" w:themeColor="text1"/>
          <w:kern w:val="0"/>
          <w:sz w:val="26"/>
          <w:szCs w:val="26"/>
          <w:lang w:val="vi-VN"/>
          <w14:ligatures w14:val="none"/>
        </w:rPr>
        <w:t>.</w:t>
      </w:r>
    </w:p>
    <w:p w:rsidR="00C041DB" w:rsidRPr="00C041DB" w:rsidRDefault="00C041DB" w:rsidP="00C041DB">
      <w:pPr>
        <w:shd w:val="clear" w:color="auto" w:fill="FFFFFF"/>
        <w:spacing w:line="288" w:lineRule="auto"/>
        <w:jc w:val="both"/>
        <w:rPr>
          <w:rFonts w:ascii="Times New Roman" w:eastAsia="Times New Roman" w:hAnsi="Times New Roman" w:cs="Times New Roman"/>
          <w:b/>
          <w:bCs/>
          <w:i/>
          <w:iCs/>
          <w:color w:val="000000" w:themeColor="text1"/>
          <w:kern w:val="0"/>
          <w:sz w:val="26"/>
          <w:szCs w:val="26"/>
          <w14:ligatures w14:val="none"/>
        </w:rPr>
      </w:pPr>
      <w:r w:rsidRPr="00C041DB">
        <w:rPr>
          <w:rFonts w:ascii="Times New Roman" w:eastAsia="Times New Roman" w:hAnsi="Times New Roman" w:cs="Times New Roman"/>
          <w:b/>
          <w:bCs/>
          <w:i/>
          <w:iCs/>
          <w:color w:val="000000" w:themeColor="text1"/>
          <w:kern w:val="0"/>
          <w:sz w:val="26"/>
          <w:szCs w:val="26"/>
          <w14:ligatures w14:val="none"/>
        </w:rPr>
        <w:t>Sửa chữa thông tin, số liệu sau ngày khóa sổ kế toán (sau ngày 31/12) liên quan đến báo cáo quyết toán kinh phí hoạt động</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a) Việc sửa chữa thông tin, số liệu trên sổ kế toán tài khoản ngoài bảng phản ánh số liệu làm căn cứ lập báo cáo quyết toán kinh phí hoạt động phải thực hiện theo quy định của pháp luật về ngân sách nhà nước và các quy định của pháp luật có liên quan.</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b) Đơn vị chỉ thực hiện sửa chữa các thông tin, số liệu trên sổ kế toán chi tiết tài khoản ngoài bảng của năm báo cáo trong trường hợp báo cáo quyết toán năm chưa nộp cho cơ quan có thẩm quyền.</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c) Khi báo cáo quyết toán năm đã được nộp cho cơ quan có thẩm quyền, thì đơn vị không được tự ý điều chỉnh, sửa chữa thông tin, số liệu đã hạch toán, báo cáo, trừ trường hợp có yêu cầu thay đổi thông tin, số liệu theo biên bản phê duyệt quyết toán của cơ quan có thẩm quyền; trường hợp này, đơn vị phải lập lại báo cáo quyết toán kinh phí hoạt động theo thông tin, số liệu sau khi đã điều chỉnh, sửa chữa theo yêu cầu để nộp lại cho cơ quan có thẩm quyền.</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d) Các trường hợp điều chỉnh, sửa chữa thông tin, số liệu kế toán trên sổ kế toán tài khoản ngoài bảng có liên quan đến thông tin, số liệu lập báo cáo tài chính, thì đồng thời phải thực hiện điều chỉnh, sửa chữa thông tin, số liệu trên sổ kế toán các tài khoản trong bảng có liên quan theo quy định tại khoản 4 Điều này.</w:t>
      </w:r>
    </w:p>
    <w:p w:rsidR="00C041DB" w:rsidRPr="00C041DB" w:rsidRDefault="00C041DB" w:rsidP="00C041DB">
      <w:pPr>
        <w:shd w:val="clear" w:color="auto" w:fill="FFFFFF"/>
        <w:spacing w:line="288" w:lineRule="auto"/>
        <w:jc w:val="both"/>
        <w:rPr>
          <w:rFonts w:ascii="Times New Roman" w:eastAsia="Times New Roman" w:hAnsi="Times New Roman" w:cs="Times New Roman"/>
          <w:b/>
          <w:bCs/>
          <w:i/>
          <w:iCs/>
          <w:color w:val="000000" w:themeColor="text1"/>
          <w:kern w:val="0"/>
          <w:sz w:val="26"/>
          <w:szCs w:val="26"/>
          <w14:ligatures w14:val="none"/>
        </w:rPr>
      </w:pPr>
      <w:r w:rsidRPr="00C041DB">
        <w:rPr>
          <w:rFonts w:ascii="Times New Roman" w:eastAsia="Times New Roman" w:hAnsi="Times New Roman" w:cs="Times New Roman"/>
          <w:b/>
          <w:bCs/>
          <w:i/>
          <w:iCs/>
          <w:color w:val="000000" w:themeColor="text1"/>
          <w:kern w:val="0"/>
          <w:sz w:val="26"/>
          <w:szCs w:val="26"/>
          <w14:ligatures w14:val="none"/>
        </w:rPr>
        <w:t>Sửa chữa thông tin, số liệu sau ngày khóa sổ kế toán (sau ngày 31/12) liên quan đến báo cáo tài chính.</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Việc điều chỉnh, sửa chữa thông tin, số liệu trên sổ kế toán các tài khoản phản ánh số liệu lập báo cáo tài chính thực hiện như sau:</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a) Giai đoạn từ sau ngày khóa sổ kế toán (sau ngày 31/12) đến trước ngày báo cáo tài chính được ký duyệt phát hành để nộp cho cơ quan có thẩm quyền hoặc công khai theo quy định.</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lastRenderedPageBreak/>
        <w:t>Trong khoảng thời gian từ sau ngày khóa sổ kế toán (sau ngày 31/12) đến trước ngày báo cáo tài chính được ký duyệt phát hành sẽ có các sự kiện phát sinh thêm gọi là sự kiện phát sinh sau ngày kết thúc kỳ kế toán năm có liên quan đến số liệu lập báo cáo tài chính, bao gồm sự kiện không phải điều chỉnh và sự kiện phải điều chỉnh vào thông tin, số liệu của kỳ kế toán đã khoá sổ. Trong đó, các sự kiện phát sinh sau ngày kết thúc kỳ kế toán năm phải điều chỉnh vào thông tin, số liệu của kỳ kế toán đã khoá sổ là các sự kiện cung cấp bằng chứng cho thấy các sự việc đã tồn tại trong năm báo cáo, trước khi kết thúc kỳ kế toán năm. Các sự kiện phát sinh sau ngày kết thúc kỳ kế toán năm đơn vị phải điều chỉnh vào thông tin, số liệu của kỳ kế toán đã khóa sổ, bao gồm:</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Tài sản đã được đơn vị mua, bán từ ngày 31/12 trở về trước, nhưng sau ngày khoá sổ kế toán (sau ngày 31/12) mới có đủ thông tin, hồ sơ tài liệu có liên quan để xác định giá trị của tài sản đã mua, số thu được từ tài sản đã bán;</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Khoản thu liên doanh, liên kết đã thu được trong kỳ báo cáo phải phân chia với đơn vị khác theo thỏa thuận đã ký kết, nhưng sau ngày khoá sổ kế toán (sau ngày 31/12) mới có đầy đủ thông tin, hồ sơ tài liệu có liên quan để xác định được việc phân chia khoản thu này (đơn vị phân chia hạch toán kết chuyển từ khoản đã thu chờ phân bổ thành doanh thu trong kỳ báo cáo, đơn vị được nhận khoản phân chia hạch toán doanh thu trong kỳ báo cáo đối ứng với khoản phải thu);</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Các khoản kết chuyển chênh lệch thu, chi (tiết kiệm chi) trong năm báo cáo của các hoạt động tự chủ, khoán chi hoặc hoạt động có tính chất tương tự theo cơ chế tài chính vào các quỹ thuộc đơn vị, các quỹ phải trả, các khoản phải trả tương ứng;</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Các sai sót đã ghi sổ kế toán trong năm báo cáo (thông tin, số liệu đã hạch toán từ ngày 01/01 đến hết ngày 31/12) được phát hiện sau ngày khoá sổ kế toán (sau ngày 31/12);</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Các khoản đã rút dự toán ứng trước của ngân sách nhà nước, đã có khối lượng thực hiện từ ngày 31/12 trở về trước được chuyển thành cấp phát trong thời gian chỉnh lý quyết toán của năm báo cáo;</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Quyết định của cấp có thẩm quyền mà đơn vị nhận được sau ngày khoá sổ kế toán (sau ngày 31/12) liên quan đến một vụ việc đang xử lý, trong đó phát sinh nghĩa vụ hiện tại mà đơn vị cần ghi nhận hoặc điều chỉnh một khoản dự phòng liên quan đến thông tin, số liệu của năm báo cáo;</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Thông tin được tiếp nhận sau ngày khoá sổ kế toán (sau ngày 31/12) chỉ rõ tài sản của đơn vị đã bị tổn thất từ ngày 31/12 trở về trước đối với hoạt động sản xuất kinh doanh, dịch vụ, đơn vị phải xem xét để ghi nhận hoặc điều chỉnh khoản dự phòng (ví dụ như trường hợp đối tác bị phá sản dẫn đến tổn thất đối với khoản còn phải thu tại ngày kết thúc kỳ kế toán năm mà đơn vị cần điều chỉnh khoản dự phòng nợ phải thu khó đòi);</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lastRenderedPageBreak/>
        <w:t>- Các sự kiện khác phát sinh sau ngày khoá sổ kế toán (sau ngày 31/12) cung cấp cho đơn vị bằng chứng rõ ràng về các sự việc đã tồn tại từ ngày 31/12 trở về trước, mà đơn vị phải xem xét quyết định việc điều chỉnh vào thông tin, số liệu đã khoá sổ để trình bày vào báo cáo tài chính của năm đã khoá sổ đảm bảo phù hợp, khách quan; đơn vị chịu trách nhiệm về quyết định điều chỉnh này.</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b) Giai đoạn sau khi báo cáo tài chính năm đã được nộp cho cơ quan có thẩm quyền hoặc đã được công khai theo quy định.</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b1) Nghiêm cấm đơn vị tự ý làm thay đổi thông tin, số liệu trình bày trên báo cáo tài chính đã được nộp cho cơ quan có thẩm quyền hoặc báo cáo tài chính đã được công khai theo quy định. Trường hợp phát hiện có sai sót, thì đơn vị phải sửa chữa trên sổ kế toán của năm phát hiện sai sót theo quy định tại Thông tư này.</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b2) Các trường hợp điều chỉnh, sửa chữa thông tin, số liệu:</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Phát hiện các sai sót trọng yếu: Là trường hợp bỏ sót thông tin, số liệu hoặc xử lý chưa đúng các thông tin đã có tại thời điểm khoá sổ kế toán để lập báo cáo tài chính các năm trước, dẫn đến làm sai lệch thông tin trên báo cáo tài chính của đơn vị trong các năm trước và có thể làm ảnh hưởng đến quyết định của người đọc báo cáo tài chính. Những sai sót này có thể là các lỗi về tính toán; sai sót trong áp dụng các quy định; bỏ quên, hiểu và diễn giải sai thực tế; hoặc gian lận. Căn cứ vào phạm vi, tính chất của sai sót, quy mô, đơn vị tự đánh giá để xác định là trường hợp sai sót trọng yếu đối với đơn vị mình và quyết định việc điều chỉnh thông tin, số liệu.</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Thực hiện văn bản của cơ quan có thẩm quyền (cơ quan kiểm toán nhà nước, cơ quan thanh tra, các cơ quan chức năng có thẩm quyền khác), trong đó yêu cầu/kiến nghị đơn vị phải điều chỉnh thông tin, số liệu trình bày trên báo cáo tài chính đã nộp cho cơ quan có thẩm quyền hoặc đã được công khai.</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Thay đổi trong chính sách kế toán: Bao gồm các trường hợp thay đổi chế độ kế toán; thay đổi cơ chế tài chính mà trong đó có quy định phải điều chỉnh thông tin, số liệu các năm trước; đơn vị thay đổi phương pháp ghi nhận hoặc xác định giá trị của một giao dịch, sự kiện có ảnh hưởng trọng yếu đến thông tin, số liệu các năm trước.</w:t>
      </w:r>
    </w:p>
    <w:p w:rsidR="00C041DB" w:rsidRPr="00C041DB" w:rsidRDefault="00C041DB" w:rsidP="00C041DB">
      <w:pPr>
        <w:shd w:val="clear" w:color="auto" w:fill="FFFFFF"/>
        <w:spacing w:line="288" w:lineRule="auto"/>
        <w:jc w:val="both"/>
        <w:rPr>
          <w:rFonts w:ascii="Times New Roman" w:eastAsia="Times New Roman" w:hAnsi="Times New Roman" w:cs="Times New Roman"/>
          <w:color w:val="000000" w:themeColor="text1"/>
          <w:kern w:val="0"/>
          <w:sz w:val="26"/>
          <w:szCs w:val="26"/>
          <w14:ligatures w14:val="none"/>
        </w:rPr>
      </w:pPr>
      <w:r w:rsidRPr="00C041DB">
        <w:rPr>
          <w:rFonts w:ascii="Times New Roman" w:eastAsia="Times New Roman" w:hAnsi="Times New Roman" w:cs="Times New Roman"/>
          <w:color w:val="000000" w:themeColor="text1"/>
          <w:kern w:val="0"/>
          <w:sz w:val="26"/>
          <w:szCs w:val="26"/>
          <w14:ligatures w14:val="none"/>
        </w:rPr>
        <w:t xml:space="preserve">- Thay đổi số liệu ước tính kế toán: Là trường hợp số liệu phải hạch toán kế toán trong kỳ, nhưng đơn vị chưa có đủ cơ sở để xác định chính xác mà phải tự ước tính số liệu. Để ước tính số liệu, phải dựa trên cơ sở các thông tin, dữ liệu thực tế hiện có đến thời điểm đơn vị thực hiện ước tính; kết quả số liệu thông qua ước tính này, đơn vị sử dụng để hạch toán và trình bày trên báo cáo tài chính trong kỳ thực hiện ước tính. Trong các kỳ sau, khi có thêm các thông tin, dữ liệu mới, dẫn đến số liệu đã ước tính này bị thay đổi, thì đơn vị được phép điều chỉnh, sửa chữa thông tin, số liệu đã ước tính trước đó cho phù hợp với thông tin, dữ liệu cập nhật theo quy định tại Thông tư này. Ví dụ: Ước tính để trích lập các khoản dự </w:t>
      </w:r>
      <w:r w:rsidRPr="00C041DB">
        <w:rPr>
          <w:rFonts w:ascii="Times New Roman" w:eastAsia="Times New Roman" w:hAnsi="Times New Roman" w:cs="Times New Roman"/>
          <w:color w:val="000000" w:themeColor="text1"/>
          <w:kern w:val="0"/>
          <w:sz w:val="26"/>
          <w:szCs w:val="26"/>
          <w14:ligatures w14:val="none"/>
        </w:rPr>
        <w:lastRenderedPageBreak/>
        <w:t>phòng, ước tính ghi nhận doanh thu do bảo hiểm y tế chi trả cho cơ sở khám chữa bệnh khi chưa có quyết toán chính thức hoặc ước tính chi phí khi công việc chưa hoàn thành.</w:t>
      </w:r>
    </w:p>
    <w:p w:rsidR="00A77225" w:rsidRDefault="00A77225" w:rsidP="00A77225">
      <w:pPr>
        <w:shd w:val="clear" w:color="auto" w:fill="FFFFFF"/>
        <w:spacing w:line="288" w:lineRule="auto"/>
        <w:jc w:val="both"/>
        <w:rPr>
          <w:rFonts w:ascii="Times New Roman" w:eastAsia="Times New Roman" w:hAnsi="Times New Roman" w:cs="Times New Roman"/>
          <w:b/>
          <w:bCs/>
          <w:color w:val="000000" w:themeColor="text1"/>
          <w:kern w:val="0"/>
          <w:sz w:val="26"/>
          <w:szCs w:val="26"/>
          <w:lang w:val="vi-VN"/>
          <w14:ligatures w14:val="none"/>
        </w:rPr>
      </w:pPr>
      <w:r w:rsidRPr="00205B48">
        <w:rPr>
          <w:rFonts w:ascii="Times New Roman" w:eastAsia="Times New Roman" w:hAnsi="Times New Roman" w:cs="Times New Roman"/>
          <w:b/>
          <w:bCs/>
          <w:color w:val="000000" w:themeColor="text1"/>
          <w:kern w:val="0"/>
          <w:sz w:val="26"/>
          <w:szCs w:val="26"/>
          <w14:ligatures w14:val="none"/>
        </w:rPr>
        <w:t>(3) Các đơn vị có thể tự thiết kế chứng từ kế toá</w:t>
      </w:r>
      <w:r>
        <w:rPr>
          <w:rFonts w:ascii="Times New Roman" w:eastAsia="Times New Roman" w:hAnsi="Times New Roman" w:cs="Times New Roman"/>
          <w:b/>
          <w:bCs/>
          <w:color w:val="000000" w:themeColor="text1"/>
          <w:kern w:val="0"/>
          <w:sz w:val="26"/>
          <w:szCs w:val="26"/>
          <w:lang w:val="vi-VN"/>
          <w14:ligatures w14:val="none"/>
        </w:rPr>
        <w:t>n</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xml:space="preserve">Theo quy định </w:t>
      </w:r>
      <w:r>
        <w:rPr>
          <w:rFonts w:ascii="Times New Roman" w:eastAsia="Times New Roman" w:hAnsi="Times New Roman" w:cs="Times New Roman"/>
          <w:color w:val="000000" w:themeColor="text1"/>
          <w:kern w:val="0"/>
          <w:sz w:val="26"/>
          <w:szCs w:val="26"/>
          <w14:ligatures w14:val="none"/>
        </w:rPr>
        <w:t>tại</w:t>
      </w:r>
      <w:r>
        <w:rPr>
          <w:rFonts w:ascii="Times New Roman" w:eastAsia="Times New Roman" w:hAnsi="Times New Roman" w:cs="Times New Roman"/>
          <w:color w:val="000000" w:themeColor="text1"/>
          <w:kern w:val="0"/>
          <w:sz w:val="26"/>
          <w:szCs w:val="26"/>
          <w:lang w:val="vi-VN"/>
          <w14:ligatures w14:val="none"/>
        </w:rPr>
        <w:t xml:space="preserve"> điều 4 </w:t>
      </w:r>
      <w:r>
        <w:rPr>
          <w:rFonts w:ascii="Times New Roman" w:eastAsia="Times New Roman" w:hAnsi="Times New Roman" w:cs="Times New Roman"/>
          <w:color w:val="000000" w:themeColor="text1"/>
          <w:kern w:val="0"/>
          <w:sz w:val="26"/>
          <w:szCs w:val="26"/>
          <w:lang w:val="vi-VN"/>
          <w14:ligatures w14:val="none"/>
        </w:rPr>
        <w:t>thông tư 24/2024/TT-BTC</w:t>
      </w:r>
      <w:r w:rsidRPr="00205B48">
        <w:rPr>
          <w:rFonts w:ascii="Times New Roman" w:eastAsia="Times New Roman" w:hAnsi="Times New Roman" w:cs="Times New Roman"/>
          <w:color w:val="000000" w:themeColor="text1"/>
          <w:kern w:val="0"/>
          <w:sz w:val="26"/>
          <w:szCs w:val="26"/>
          <w14:ligatures w14:val="none"/>
        </w:rPr>
        <w:t xml:space="preserve"> </w:t>
      </w:r>
      <w:r w:rsidRPr="00205B48">
        <w:rPr>
          <w:rFonts w:ascii="Times New Roman" w:eastAsia="Times New Roman" w:hAnsi="Times New Roman" w:cs="Times New Roman"/>
          <w:color w:val="000000" w:themeColor="text1"/>
          <w:kern w:val="0"/>
          <w:sz w:val="26"/>
          <w:szCs w:val="26"/>
          <w14:ligatures w14:val="none"/>
        </w:rPr>
        <w:t>quy định về chứng từ kế toán như sa</w:t>
      </w:r>
      <w:r>
        <w:rPr>
          <w:rFonts w:ascii="Times New Roman" w:eastAsia="Times New Roman" w:hAnsi="Times New Roman" w:cs="Times New Roman"/>
          <w:color w:val="000000" w:themeColor="text1"/>
          <w:kern w:val="0"/>
          <w:sz w:val="26"/>
          <w:szCs w:val="26"/>
          <w:lang w:val="vi-VN"/>
          <w14:ligatures w14:val="none"/>
        </w:rPr>
        <w:t>u:</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Các đơn vị kế toán được tự thiết kế chứng từ để phản ánh nghiệp vụ kinh tế, tài chính phát sinh phù hợp với yêu cầu quản lý, đảm bảo đủ các thông tin phục vụ hạch toán kế toán. Ngoại trừ trường hợp đã có quy định mẫu biểu chứng từ kế toán tại các văn bản pháp luật có liên quan</w:t>
      </w:r>
      <w:r>
        <w:rPr>
          <w:rFonts w:ascii="Times New Roman" w:eastAsia="Times New Roman" w:hAnsi="Times New Roman" w:cs="Times New Roman"/>
          <w:color w:val="000000" w:themeColor="text1"/>
          <w:kern w:val="0"/>
          <w:sz w:val="26"/>
          <w:szCs w:val="26"/>
          <w:lang w:val="vi-VN"/>
          <w14:ligatures w14:val="none"/>
        </w:rPr>
        <w:t>.</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Chứng từ kế toán do đơn vị tự thiết kế phải phản ánh đúng bản chất của nghiệp vụ kinh tế, tài chính phát sinh, tuân thủ các nội dung quy định tại</w:t>
      </w:r>
      <w:r w:rsidRPr="00A77225">
        <w:rPr>
          <w:rFonts w:ascii="Times New Roman" w:eastAsia="Times New Roman" w:hAnsi="Times New Roman" w:cs="Times New Roman"/>
          <w:color w:val="000000" w:themeColor="text1"/>
          <w:kern w:val="0"/>
          <w:sz w:val="26"/>
          <w:szCs w:val="26"/>
          <w:lang w:val="vi-VN"/>
          <w14:ligatures w14:val="none"/>
        </w:rPr>
        <w:t xml:space="preserve"> </w:t>
      </w:r>
      <w:r>
        <w:rPr>
          <w:rFonts w:ascii="Times New Roman" w:eastAsia="Times New Roman" w:hAnsi="Times New Roman" w:cs="Times New Roman"/>
          <w:color w:val="000000" w:themeColor="text1"/>
          <w:kern w:val="0"/>
          <w:sz w:val="26"/>
          <w:szCs w:val="26"/>
          <w:lang w:val="vi-VN"/>
          <w14:ligatures w14:val="none"/>
        </w:rPr>
        <w:t>Luật Kế toán 2015</w:t>
      </w:r>
      <w:r>
        <w:rPr>
          <w:rFonts w:ascii="Times New Roman" w:eastAsia="Times New Roman" w:hAnsi="Times New Roman" w:cs="Times New Roman"/>
          <w:color w:val="000000" w:themeColor="text1"/>
          <w:kern w:val="0"/>
          <w:sz w:val="26"/>
          <w:szCs w:val="26"/>
          <w:lang w:val="vi-VN"/>
          <w14:ligatures w14:val="none"/>
        </w:rPr>
        <w:t>,</w:t>
      </w:r>
      <w:r w:rsidRPr="00205B48">
        <w:rPr>
          <w:rFonts w:ascii="Times New Roman" w:eastAsia="Times New Roman" w:hAnsi="Times New Roman" w:cs="Times New Roman"/>
          <w:color w:val="000000" w:themeColor="text1"/>
          <w:kern w:val="0"/>
          <w:sz w:val="26"/>
          <w:szCs w:val="26"/>
          <w14:ligatures w14:val="none"/>
        </w:rPr>
        <w:t xml:space="preserve"> phù hợp với thông tin cần ghi sổ kế toán và yêu cầu quản lý của đơn vị</w:t>
      </w:r>
      <w:r>
        <w:rPr>
          <w:rFonts w:ascii="Times New Roman" w:eastAsia="Times New Roman" w:hAnsi="Times New Roman" w:cs="Times New Roman"/>
          <w:color w:val="000000" w:themeColor="text1"/>
          <w:kern w:val="0"/>
          <w:sz w:val="26"/>
          <w:szCs w:val="26"/>
          <w:lang w:val="vi-VN"/>
          <w14:ligatures w14:val="none"/>
        </w:rPr>
        <w:t>.</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Đối với các đơn vị kế toán/hoạch toán sử dụng chứng từ được in sẵn thì phải bảo quản cẩn thận, không được để hư hỏng, mục nát</w:t>
      </w:r>
      <w:r>
        <w:rPr>
          <w:rFonts w:ascii="Times New Roman" w:eastAsia="Times New Roman" w:hAnsi="Times New Roman" w:cs="Times New Roman"/>
          <w:color w:val="000000" w:themeColor="text1"/>
          <w:kern w:val="0"/>
          <w:sz w:val="26"/>
          <w:szCs w:val="26"/>
          <w:lang w:val="vi-VN"/>
          <w14:ligatures w14:val="none"/>
        </w:rPr>
        <w:t>.</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sidRPr="00205B48">
        <w:rPr>
          <w:rFonts w:ascii="Times New Roman" w:eastAsia="Times New Roman" w:hAnsi="Times New Roman" w:cs="Times New Roman"/>
          <w:color w:val="000000" w:themeColor="text1"/>
          <w:kern w:val="0"/>
          <w:sz w:val="26"/>
          <w:szCs w:val="26"/>
          <w14:ligatures w14:val="none"/>
        </w:rPr>
        <w:t>- Đối với loại chứng từ kế toán được cơ quan có thẩm quyền quy định phải quản lý riêng biệt, chặt chẽ như tiền, thì đơn vị phải thực hiện đúng quy trình quản lý, đảm bảo tuyệt đối an toàn</w:t>
      </w:r>
      <w:r>
        <w:rPr>
          <w:rFonts w:ascii="Times New Roman" w:eastAsia="Times New Roman" w:hAnsi="Times New Roman" w:cs="Times New Roman"/>
          <w:color w:val="000000" w:themeColor="text1"/>
          <w:kern w:val="0"/>
          <w:sz w:val="26"/>
          <w:szCs w:val="26"/>
          <w:lang w:val="vi-VN"/>
          <w14:ligatures w14:val="none"/>
        </w:rPr>
        <w:t>.</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xml:space="preserve"> Thông tư </w:t>
      </w:r>
      <w:r>
        <w:rPr>
          <w:rFonts w:ascii="Times New Roman" w:eastAsia="Times New Roman" w:hAnsi="Times New Roman" w:cs="Times New Roman"/>
          <w:color w:val="000000" w:themeColor="text1"/>
          <w:kern w:val="0"/>
          <w:sz w:val="26"/>
          <w:szCs w:val="26"/>
          <w:lang w:val="vi-VN"/>
          <w14:ligatures w14:val="none"/>
        </w:rPr>
        <w:t>24/2024/TT-BTC</w:t>
      </w:r>
      <w:r>
        <w:rPr>
          <w:rFonts w:ascii="Times New Roman" w:eastAsia="Times New Roman" w:hAnsi="Times New Roman" w:cs="Times New Roman"/>
          <w:color w:val="000000" w:themeColor="text1"/>
          <w:kern w:val="0"/>
          <w:sz w:val="26"/>
          <w:szCs w:val="26"/>
          <w:lang w:val="vi-VN"/>
          <w14:ligatures w14:val="none"/>
        </w:rPr>
        <w:t xml:space="preserve"> chính thức có hiệu lực thi hành là 01/01/2025 thì các văn bản sau đây sẽ hết hiệu lực thi hành, cụ thể:</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Thông tư 107/2017/TT-BTC hướng dẫn Chế độ kế toán hành chính sự nghiệp</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Thông tư 10</w:t>
      </w:r>
      <w:r>
        <w:rPr>
          <w:rFonts w:ascii="Times New Roman" w:eastAsia="Times New Roman" w:hAnsi="Times New Roman" w:cs="Times New Roman"/>
          <w:color w:val="000000" w:themeColor="text1"/>
          <w:kern w:val="0"/>
          <w:sz w:val="26"/>
          <w:szCs w:val="26"/>
          <w:lang w:val="vi-VN"/>
          <w14:ligatures w14:val="none"/>
        </w:rPr>
        <w:t>8</w:t>
      </w:r>
      <w:r>
        <w:rPr>
          <w:rFonts w:ascii="Times New Roman" w:eastAsia="Times New Roman" w:hAnsi="Times New Roman" w:cs="Times New Roman"/>
          <w:color w:val="000000" w:themeColor="text1"/>
          <w:kern w:val="0"/>
          <w:sz w:val="26"/>
          <w:szCs w:val="26"/>
          <w:lang w:val="vi-VN"/>
          <w14:ligatures w14:val="none"/>
        </w:rPr>
        <w:t>/201</w:t>
      </w:r>
      <w:r>
        <w:rPr>
          <w:rFonts w:ascii="Times New Roman" w:eastAsia="Times New Roman" w:hAnsi="Times New Roman" w:cs="Times New Roman"/>
          <w:color w:val="000000" w:themeColor="text1"/>
          <w:kern w:val="0"/>
          <w:sz w:val="26"/>
          <w:szCs w:val="26"/>
          <w:lang w:val="vi-VN"/>
          <w14:ligatures w14:val="none"/>
        </w:rPr>
        <w:t>8</w:t>
      </w:r>
      <w:r>
        <w:rPr>
          <w:rFonts w:ascii="Times New Roman" w:eastAsia="Times New Roman" w:hAnsi="Times New Roman" w:cs="Times New Roman"/>
          <w:color w:val="000000" w:themeColor="text1"/>
          <w:kern w:val="0"/>
          <w:sz w:val="26"/>
          <w:szCs w:val="26"/>
          <w:lang w:val="vi-VN"/>
          <w14:ligatures w14:val="none"/>
        </w:rPr>
        <w:t xml:space="preserve">/TT-BTC hướng dẫn </w:t>
      </w:r>
      <w:r>
        <w:rPr>
          <w:rFonts w:ascii="Times New Roman" w:eastAsia="Times New Roman" w:hAnsi="Times New Roman" w:cs="Times New Roman"/>
          <w:color w:val="000000" w:themeColor="text1"/>
          <w:kern w:val="0"/>
          <w:sz w:val="26"/>
          <w:szCs w:val="26"/>
          <w:lang w:val="vi-VN"/>
          <w14:ligatures w14:val="none"/>
        </w:rPr>
        <w:t>K</w:t>
      </w:r>
      <w:r>
        <w:rPr>
          <w:rFonts w:ascii="Times New Roman" w:eastAsia="Times New Roman" w:hAnsi="Times New Roman" w:cs="Times New Roman"/>
          <w:color w:val="000000" w:themeColor="text1"/>
          <w:kern w:val="0"/>
          <w:sz w:val="26"/>
          <w:szCs w:val="26"/>
          <w:lang w:val="vi-VN"/>
          <w14:ligatures w14:val="none"/>
        </w:rPr>
        <w:t xml:space="preserve">ế toán </w:t>
      </w:r>
      <w:r>
        <w:rPr>
          <w:rFonts w:ascii="Times New Roman" w:eastAsia="Times New Roman" w:hAnsi="Times New Roman" w:cs="Times New Roman"/>
          <w:color w:val="000000" w:themeColor="text1"/>
          <w:kern w:val="0"/>
          <w:sz w:val="26"/>
          <w:szCs w:val="26"/>
          <w:lang w:val="vi-VN"/>
          <w14:ligatures w14:val="none"/>
        </w:rPr>
        <w:t>dự trữ Quốc gia</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Thông tư 7</w:t>
      </w:r>
      <w:r>
        <w:rPr>
          <w:rFonts w:ascii="Times New Roman" w:eastAsia="Times New Roman" w:hAnsi="Times New Roman" w:cs="Times New Roman"/>
          <w:color w:val="000000" w:themeColor="text1"/>
          <w:kern w:val="0"/>
          <w:sz w:val="26"/>
          <w:szCs w:val="26"/>
          <w:lang w:val="vi-VN"/>
          <w14:ligatures w14:val="none"/>
        </w:rPr>
        <w:t>6</w:t>
      </w:r>
      <w:r>
        <w:rPr>
          <w:rFonts w:ascii="Times New Roman" w:eastAsia="Times New Roman" w:hAnsi="Times New Roman" w:cs="Times New Roman"/>
          <w:color w:val="000000" w:themeColor="text1"/>
          <w:kern w:val="0"/>
          <w:sz w:val="26"/>
          <w:szCs w:val="26"/>
          <w:lang w:val="vi-VN"/>
          <w14:ligatures w14:val="none"/>
        </w:rPr>
        <w:t>/201</w:t>
      </w:r>
      <w:r>
        <w:rPr>
          <w:rFonts w:ascii="Times New Roman" w:eastAsia="Times New Roman" w:hAnsi="Times New Roman" w:cs="Times New Roman"/>
          <w:color w:val="000000" w:themeColor="text1"/>
          <w:kern w:val="0"/>
          <w:sz w:val="26"/>
          <w:szCs w:val="26"/>
          <w:lang w:val="vi-VN"/>
          <w14:ligatures w14:val="none"/>
        </w:rPr>
        <w:t>9</w:t>
      </w:r>
      <w:r>
        <w:rPr>
          <w:rFonts w:ascii="Times New Roman" w:eastAsia="Times New Roman" w:hAnsi="Times New Roman" w:cs="Times New Roman"/>
          <w:color w:val="000000" w:themeColor="text1"/>
          <w:kern w:val="0"/>
          <w:sz w:val="26"/>
          <w:szCs w:val="26"/>
          <w:lang w:val="vi-VN"/>
          <w14:ligatures w14:val="none"/>
        </w:rPr>
        <w:t xml:space="preserve">/TT-BTC hướng dẫn </w:t>
      </w:r>
      <w:r>
        <w:rPr>
          <w:rFonts w:ascii="Times New Roman" w:eastAsia="Times New Roman" w:hAnsi="Times New Roman" w:cs="Times New Roman"/>
          <w:color w:val="000000" w:themeColor="text1"/>
          <w:kern w:val="0"/>
          <w:sz w:val="26"/>
          <w:szCs w:val="26"/>
          <w:lang w:val="vi-VN"/>
          <w14:ligatures w14:val="none"/>
        </w:rPr>
        <w:t>kế toán tài sản kết cấu hạ tầng giao thông, thuỷ lợi.</w:t>
      </w: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Thông tư 7</w:t>
      </w:r>
      <w:r>
        <w:rPr>
          <w:rFonts w:ascii="Times New Roman" w:eastAsia="Times New Roman" w:hAnsi="Times New Roman" w:cs="Times New Roman"/>
          <w:color w:val="000000" w:themeColor="text1"/>
          <w:kern w:val="0"/>
          <w:sz w:val="26"/>
          <w:szCs w:val="26"/>
          <w:lang w:val="vi-VN"/>
          <w14:ligatures w14:val="none"/>
        </w:rPr>
        <w:t>9</w:t>
      </w:r>
      <w:r>
        <w:rPr>
          <w:rFonts w:ascii="Times New Roman" w:eastAsia="Times New Roman" w:hAnsi="Times New Roman" w:cs="Times New Roman"/>
          <w:color w:val="000000" w:themeColor="text1"/>
          <w:kern w:val="0"/>
          <w:sz w:val="26"/>
          <w:szCs w:val="26"/>
          <w:lang w:val="vi-VN"/>
          <w14:ligatures w14:val="none"/>
        </w:rPr>
        <w:t>/201</w:t>
      </w:r>
      <w:r>
        <w:rPr>
          <w:rFonts w:ascii="Times New Roman" w:eastAsia="Times New Roman" w:hAnsi="Times New Roman" w:cs="Times New Roman"/>
          <w:color w:val="000000" w:themeColor="text1"/>
          <w:kern w:val="0"/>
          <w:sz w:val="26"/>
          <w:szCs w:val="26"/>
          <w:lang w:val="vi-VN"/>
          <w14:ligatures w14:val="none"/>
        </w:rPr>
        <w:t>9</w:t>
      </w:r>
      <w:r>
        <w:rPr>
          <w:rFonts w:ascii="Times New Roman" w:eastAsia="Times New Roman" w:hAnsi="Times New Roman" w:cs="Times New Roman"/>
          <w:color w:val="000000" w:themeColor="text1"/>
          <w:kern w:val="0"/>
          <w:sz w:val="26"/>
          <w:szCs w:val="26"/>
          <w:lang w:val="vi-VN"/>
          <w14:ligatures w14:val="none"/>
        </w:rPr>
        <w:t xml:space="preserve">/TT-BTC hướng dẫn Chế độ kế toán </w:t>
      </w:r>
      <w:r>
        <w:rPr>
          <w:rFonts w:ascii="Times New Roman" w:eastAsia="Times New Roman" w:hAnsi="Times New Roman" w:cs="Times New Roman"/>
          <w:color w:val="000000" w:themeColor="text1"/>
          <w:kern w:val="0"/>
          <w:sz w:val="26"/>
          <w:szCs w:val="26"/>
          <w:lang w:val="vi-VN"/>
          <w14:ligatures w14:val="none"/>
        </w:rPr>
        <w:t>áp dụng cho ban quản lý dự án sử dụng vốn đầu tư công</w:t>
      </w:r>
    </w:p>
    <w:p w:rsidR="00A77225" w:rsidRP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 xml:space="preserve"> </w:t>
      </w:r>
    </w:p>
    <w:p w:rsidR="00A77225" w:rsidRPr="00A77225" w:rsidRDefault="00A77225"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P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Pr="00714107" w:rsidRDefault="00714107" w:rsidP="00A77225">
      <w:pPr>
        <w:shd w:val="clear" w:color="auto" w:fill="FFFFFF"/>
        <w:spacing w:line="288" w:lineRule="auto"/>
        <w:jc w:val="both"/>
        <w:rPr>
          <w:rFonts w:ascii="Times New Roman" w:eastAsia="Times New Roman" w:hAnsi="Times New Roman" w:cs="Times New Roman"/>
          <w:color w:val="000000" w:themeColor="text1"/>
          <w:kern w:val="0"/>
          <w:sz w:val="26"/>
          <w:szCs w:val="26"/>
          <w:lang w:val="vi-VN"/>
          <w14:ligatures w14:val="none"/>
        </w:rPr>
      </w:pPr>
    </w:p>
    <w:p w:rsidR="00714107" w:rsidRPr="00205B48" w:rsidRDefault="00714107" w:rsidP="00A77225">
      <w:pPr>
        <w:shd w:val="clear" w:color="auto" w:fill="FFFFFF"/>
        <w:spacing w:line="288" w:lineRule="auto"/>
        <w:jc w:val="both"/>
        <w:rPr>
          <w:rFonts w:ascii="Times New Roman" w:eastAsia="Times New Roman" w:hAnsi="Times New Roman" w:cs="Times New Roman"/>
          <w:b/>
          <w:bCs/>
          <w:color w:val="000000" w:themeColor="text1"/>
          <w:kern w:val="0"/>
          <w:sz w:val="26"/>
          <w:szCs w:val="26"/>
          <w:lang w:val="vi-VN"/>
          <w14:ligatures w14:val="none"/>
        </w:rPr>
      </w:pPr>
    </w:p>
    <w:p w:rsidR="00205B48" w:rsidRPr="00714107" w:rsidRDefault="00205B48" w:rsidP="00A77225">
      <w:pPr>
        <w:spacing w:line="288" w:lineRule="auto"/>
        <w:jc w:val="both"/>
        <w:rPr>
          <w:rFonts w:ascii="Times New Roman" w:hAnsi="Times New Roman" w:cs="Times New Roman"/>
          <w:color w:val="000000" w:themeColor="text1"/>
          <w:sz w:val="26"/>
          <w:szCs w:val="26"/>
        </w:rPr>
      </w:pPr>
    </w:p>
    <w:sectPr w:rsidR="00205B48" w:rsidRPr="007141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3C"/>
    <w:multiLevelType w:val="hybridMultilevel"/>
    <w:tmpl w:val="1E0C2488"/>
    <w:lvl w:ilvl="0" w:tplc="02863E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1183B"/>
    <w:multiLevelType w:val="hybridMultilevel"/>
    <w:tmpl w:val="D758D20E"/>
    <w:lvl w:ilvl="0" w:tplc="2F2C0784">
      <w:start w:val="3"/>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655189485">
    <w:abstractNumId w:val="0"/>
  </w:num>
  <w:num w:numId="2" w16cid:durableId="205515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48"/>
    <w:rsid w:val="00205B48"/>
    <w:rsid w:val="006B02BA"/>
    <w:rsid w:val="00714107"/>
    <w:rsid w:val="00A77225"/>
    <w:rsid w:val="00C041D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2AC937F"/>
  <w15:chartTrackingRefBased/>
  <w15:docId w15:val="{6A2DB17A-BD3F-9E49-BC5C-3201F1A1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205B4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05B48"/>
    <w:rPr>
      <w:color w:val="0000FF"/>
      <w:u w:val="single"/>
    </w:rPr>
  </w:style>
  <w:style w:type="character" w:customStyle="1" w:styleId="rank150x150">
    <w:name w:val="rank150x150"/>
    <w:basedOn w:val="DefaultParagraphFont"/>
    <w:rsid w:val="00205B48"/>
  </w:style>
  <w:style w:type="character" w:customStyle="1" w:styleId="rowsttcol1">
    <w:name w:val="rows_ttcol1"/>
    <w:basedOn w:val="DefaultParagraphFont"/>
    <w:rsid w:val="00205B48"/>
  </w:style>
  <w:style w:type="character" w:customStyle="1" w:styleId="rowsttcol2">
    <w:name w:val="rows_ttcol2"/>
    <w:basedOn w:val="DefaultParagraphFont"/>
    <w:rsid w:val="00205B48"/>
  </w:style>
  <w:style w:type="paragraph" w:customStyle="1" w:styleId="right">
    <w:name w:val="right"/>
    <w:basedOn w:val="Normal"/>
    <w:rsid w:val="00205B48"/>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05B4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77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397">
      <w:bodyDiv w:val="1"/>
      <w:marLeft w:val="0"/>
      <w:marRight w:val="0"/>
      <w:marTop w:val="0"/>
      <w:marBottom w:val="0"/>
      <w:divBdr>
        <w:top w:val="none" w:sz="0" w:space="0" w:color="auto"/>
        <w:left w:val="none" w:sz="0" w:space="0" w:color="auto"/>
        <w:bottom w:val="none" w:sz="0" w:space="0" w:color="auto"/>
        <w:right w:val="none" w:sz="0" w:space="0" w:color="auto"/>
      </w:divBdr>
    </w:div>
    <w:div w:id="1418407142">
      <w:bodyDiv w:val="1"/>
      <w:marLeft w:val="0"/>
      <w:marRight w:val="0"/>
      <w:marTop w:val="0"/>
      <w:marBottom w:val="0"/>
      <w:divBdr>
        <w:top w:val="none" w:sz="0" w:space="0" w:color="auto"/>
        <w:left w:val="none" w:sz="0" w:space="0" w:color="auto"/>
        <w:bottom w:val="none" w:sz="0" w:space="0" w:color="auto"/>
        <w:right w:val="none" w:sz="0" w:space="0" w:color="auto"/>
      </w:divBdr>
    </w:div>
    <w:div w:id="1931231078">
      <w:bodyDiv w:val="1"/>
      <w:marLeft w:val="0"/>
      <w:marRight w:val="0"/>
      <w:marTop w:val="0"/>
      <w:marBottom w:val="0"/>
      <w:divBdr>
        <w:top w:val="none" w:sz="0" w:space="0" w:color="auto"/>
        <w:left w:val="none" w:sz="0" w:space="0" w:color="auto"/>
        <w:bottom w:val="none" w:sz="0" w:space="0" w:color="auto"/>
        <w:right w:val="none" w:sz="0" w:space="0" w:color="auto"/>
      </w:divBdr>
      <w:divsChild>
        <w:div w:id="595940487">
          <w:marLeft w:val="0"/>
          <w:marRight w:val="0"/>
          <w:marTop w:val="0"/>
          <w:marBottom w:val="150"/>
          <w:divBdr>
            <w:top w:val="single" w:sz="6" w:space="4" w:color="DDDDDD"/>
            <w:left w:val="single" w:sz="6" w:space="4" w:color="DDDDDD"/>
            <w:bottom w:val="single" w:sz="6" w:space="4" w:color="DDDDDD"/>
            <w:right w:val="single" w:sz="6" w:space="4" w:color="DDDDDD"/>
          </w:divBdr>
          <w:divsChild>
            <w:div w:id="748816060">
              <w:marLeft w:val="0"/>
              <w:marRight w:val="0"/>
              <w:marTop w:val="0"/>
              <w:marBottom w:val="0"/>
              <w:divBdr>
                <w:top w:val="none" w:sz="0" w:space="0" w:color="auto"/>
                <w:left w:val="none" w:sz="0" w:space="0" w:color="auto"/>
                <w:bottom w:val="none" w:sz="0" w:space="0" w:color="auto"/>
                <w:right w:val="none" w:sz="0" w:space="0" w:color="auto"/>
              </w:divBdr>
              <w:divsChild>
                <w:div w:id="1759327834">
                  <w:marLeft w:val="0"/>
                  <w:marRight w:val="0"/>
                  <w:marTop w:val="0"/>
                  <w:marBottom w:val="0"/>
                  <w:divBdr>
                    <w:top w:val="none" w:sz="0" w:space="0" w:color="auto"/>
                    <w:left w:val="none" w:sz="0" w:space="0" w:color="auto"/>
                    <w:bottom w:val="none" w:sz="0" w:space="0" w:color="auto"/>
                    <w:right w:val="none" w:sz="0" w:space="0" w:color="auto"/>
                  </w:divBdr>
                </w:div>
              </w:divsChild>
            </w:div>
            <w:div w:id="1581283294">
              <w:marLeft w:val="0"/>
              <w:marRight w:val="0"/>
              <w:marTop w:val="0"/>
              <w:marBottom w:val="0"/>
              <w:divBdr>
                <w:top w:val="none" w:sz="0" w:space="0" w:color="auto"/>
                <w:left w:val="none" w:sz="0" w:space="0" w:color="auto"/>
                <w:bottom w:val="none" w:sz="0" w:space="0" w:color="auto"/>
                <w:right w:val="none" w:sz="0" w:space="0" w:color="auto"/>
              </w:divBdr>
            </w:div>
            <w:div w:id="1321613010">
              <w:marLeft w:val="1500"/>
              <w:marRight w:val="0"/>
              <w:marTop w:val="150"/>
              <w:marBottom w:val="0"/>
              <w:divBdr>
                <w:top w:val="single" w:sz="12" w:space="8" w:color="F79522"/>
                <w:left w:val="none" w:sz="0" w:space="0" w:color="auto"/>
                <w:bottom w:val="none" w:sz="0" w:space="0" w:color="auto"/>
                <w:right w:val="none" w:sz="0" w:space="0" w:color="auto"/>
              </w:divBdr>
              <w:divsChild>
                <w:div w:id="852064172">
                  <w:marLeft w:val="0"/>
                  <w:marRight w:val="0"/>
                  <w:marTop w:val="0"/>
                  <w:marBottom w:val="0"/>
                  <w:divBdr>
                    <w:top w:val="none" w:sz="0" w:space="0" w:color="auto"/>
                    <w:left w:val="none" w:sz="0" w:space="0" w:color="auto"/>
                    <w:bottom w:val="none" w:sz="0" w:space="0" w:color="auto"/>
                    <w:right w:val="none" w:sz="0" w:space="0" w:color="auto"/>
                  </w:divBdr>
                </w:div>
                <w:div w:id="876969086">
                  <w:marLeft w:val="0"/>
                  <w:marRight w:val="0"/>
                  <w:marTop w:val="0"/>
                  <w:marBottom w:val="0"/>
                  <w:divBdr>
                    <w:top w:val="none" w:sz="0" w:space="0" w:color="auto"/>
                    <w:left w:val="none" w:sz="0" w:space="0" w:color="auto"/>
                    <w:bottom w:val="none" w:sz="0" w:space="0" w:color="auto"/>
                    <w:right w:val="none" w:sz="0" w:space="0" w:color="auto"/>
                  </w:divBdr>
                </w:div>
                <w:div w:id="703872641">
                  <w:marLeft w:val="0"/>
                  <w:marRight w:val="0"/>
                  <w:marTop w:val="0"/>
                  <w:marBottom w:val="0"/>
                  <w:divBdr>
                    <w:top w:val="none" w:sz="0" w:space="0" w:color="auto"/>
                    <w:left w:val="none" w:sz="0" w:space="0" w:color="auto"/>
                    <w:bottom w:val="none" w:sz="0" w:space="0" w:color="auto"/>
                    <w:right w:val="none" w:sz="0" w:space="0" w:color="auto"/>
                  </w:divBdr>
                </w:div>
                <w:div w:id="21458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2024-12-11T10:36:00Z</dcterms:created>
  <dcterms:modified xsi:type="dcterms:W3CDTF">2024-12-11T10:36:00Z</dcterms:modified>
</cp:coreProperties>
</file>