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F3B8" w14:textId="7ABA5A39" w:rsidR="006273F3" w:rsidRPr="006273F3" w:rsidRDefault="006273F3" w:rsidP="006273F3">
      <w:pPr>
        <w:shd w:val="clear" w:color="auto" w:fill="FFFFFF"/>
        <w:spacing w:after="0" w:line="240" w:lineRule="auto"/>
        <w:jc w:val="center"/>
        <w:outlineLvl w:val="0"/>
        <w:rPr>
          <w:rFonts w:ascii="Times New Roman" w:eastAsia="Times New Roman" w:hAnsi="Times New Roman" w:cs="Times New Roman"/>
          <w:b/>
          <w:bCs/>
          <w:color w:val="333333"/>
          <w:kern w:val="36"/>
          <w:sz w:val="26"/>
          <w:szCs w:val="26"/>
        </w:rPr>
      </w:pPr>
      <w:r>
        <w:rPr>
          <w:rFonts w:ascii="Times New Roman" w:eastAsia="Times New Roman" w:hAnsi="Times New Roman" w:cs="Times New Roman"/>
          <w:b/>
          <w:bCs/>
          <w:color w:val="333333"/>
          <w:kern w:val="36"/>
          <w:sz w:val="26"/>
          <w:szCs w:val="26"/>
        </w:rPr>
        <w:t>NHỮNG ĐIỂM MỚI TRONG LUẬT THUẾ TNDN NĂM 2025</w:t>
      </w:r>
    </w:p>
    <w:p w14:paraId="2C0ED314"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i/>
          <w:color w:val="333333"/>
          <w:sz w:val="26"/>
          <w:szCs w:val="26"/>
        </w:rPr>
      </w:pPr>
      <w:r w:rsidRPr="006273F3">
        <w:rPr>
          <w:rFonts w:ascii="Times New Roman" w:eastAsia="Times New Roman" w:hAnsi="Times New Roman" w:cs="Times New Roman"/>
          <w:i/>
          <w:color w:val="333333"/>
          <w:sz w:val="26"/>
          <w:szCs w:val="26"/>
        </w:rPr>
        <w:t>Từ ngày 01/10/2025, Luật Thuế thu nhập doanh nghiệp 2025 chính thức có hiệu lực, quy định chi tiết nhiều nội dung quan trọng đối với khối doanh nghiệp. So với Luật Thuế TNDN hiện hành, Luật thuế TNDN 2025 có nhiều điểm mới, đặc biệt là bổ sung đối tượng đánh thuế, mở rộng ưu đãi thuế, quy định chi tiết các khoản chi phí được trừ,.... Dưới đây là một số nội dung mới doanh nghiệp cần lưu ý.</w:t>
      </w:r>
    </w:p>
    <w:p w14:paraId="4FC47C0F" w14:textId="77777777" w:rsidR="006273F3" w:rsidRPr="006273F3" w:rsidRDefault="006273F3" w:rsidP="006273F3">
      <w:pPr>
        <w:shd w:val="clear" w:color="auto" w:fill="FFFFFF"/>
        <w:spacing w:after="0" w:line="240" w:lineRule="auto"/>
        <w:jc w:val="both"/>
        <w:outlineLvl w:val="1"/>
        <w:rPr>
          <w:rFonts w:ascii="Times New Roman" w:eastAsia="Times New Roman" w:hAnsi="Times New Roman" w:cs="Times New Roman"/>
          <w:color w:val="333333"/>
          <w:sz w:val="26"/>
          <w:szCs w:val="26"/>
        </w:rPr>
      </w:pPr>
      <w:r w:rsidRPr="006273F3">
        <w:rPr>
          <w:rFonts w:ascii="Times New Roman" w:eastAsia="Times New Roman" w:hAnsi="Times New Roman" w:cs="Times New Roman"/>
          <w:b/>
          <w:bCs/>
          <w:color w:val="333333"/>
          <w:sz w:val="26"/>
          <w:szCs w:val="26"/>
        </w:rPr>
        <w:t>1. Doanh nghiệp nước ngoài kinh doanh qua nền tảng số, TMĐT sẽ phải nộp thuế TNDN</w:t>
      </w:r>
    </w:p>
    <w:p w14:paraId="3FD82477"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Luật </w:t>
      </w:r>
      <w:hyperlink r:id="rId5" w:tgtFrame="_blank" w:tooltip="Thuế thu nhập" w:history="1">
        <w:r w:rsidRPr="006273F3">
          <w:rPr>
            <w:rFonts w:ascii="Times New Roman" w:eastAsia="Times New Roman" w:hAnsi="Times New Roman" w:cs="Times New Roman"/>
            <w:color w:val="007BFF"/>
            <w:sz w:val="26"/>
            <w:szCs w:val="26"/>
            <w:u w:val="single"/>
          </w:rPr>
          <w:t>Thuế thu nhập</w:t>
        </w:r>
      </w:hyperlink>
      <w:r w:rsidRPr="006273F3">
        <w:rPr>
          <w:rFonts w:ascii="Times New Roman" w:eastAsia="Times New Roman" w:hAnsi="Times New Roman" w:cs="Times New Roman"/>
          <w:color w:val="333333"/>
          <w:sz w:val="26"/>
          <w:szCs w:val="26"/>
        </w:rPr>
        <w:t> doanh nghiệp năm 2025, có hiệu lực từ ngày 01/10/2025, đã mở rộng phạm vi đánh thuế đối với các tổ chức nước ngoài tham gia hoạt động kinh doanh tại Việt Nam thông qua phương thức điện tử. Theo đó, các doanh nghiệp nước ngoài không đặt trụ sở, không có cơ sở thường trú tại Việt Nam nhưng phát sinh thu nhập từ việc cung cấp hàng hóa, dịch vụ trên nền tảng thương mại điện tử, ứng dụng số hoặc nền tảng trực tuyến đều thuộc diện chịu thuế TNDN tại Việt Nam (Điểm d, Khoản 2, Điều 2, Luật Thuế TNDN 2025).</w:t>
      </w:r>
    </w:p>
    <w:p w14:paraId="61FBBAFA"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Đáng chú ý, luật lần này bổ sung rõ nguyên tắc xác định thu nhập chịu thuế: tất cả các khoản thu nhập có nguồn gốc từ Việt Nam, thì sẽ phải thực hiện nghĩa vụ thuế, bất kể doanh nghiệp đặt trụ sở ở đâu hay vận hành hoạt động từ quốc gia nào. </w:t>
      </w:r>
    </w:p>
    <w:p w14:paraId="1140E92E"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Điều này nhằm đảm bảo công bằng trong môi trường thuế, tránh thất thu từ các mô hình kinh doanh xuyên biên giới.</w:t>
      </w:r>
    </w:p>
    <w:p w14:paraId="023E53D2" w14:textId="77777777" w:rsidR="006273F3" w:rsidRPr="006273F3" w:rsidRDefault="006273F3" w:rsidP="006273F3">
      <w:pPr>
        <w:shd w:val="clear" w:color="auto" w:fill="FFFFFF"/>
        <w:spacing w:after="0" w:line="240" w:lineRule="auto"/>
        <w:jc w:val="both"/>
        <w:outlineLvl w:val="1"/>
        <w:rPr>
          <w:rFonts w:ascii="Times New Roman" w:eastAsia="Times New Roman" w:hAnsi="Times New Roman" w:cs="Times New Roman"/>
          <w:color w:val="333333"/>
          <w:sz w:val="26"/>
          <w:szCs w:val="26"/>
        </w:rPr>
      </w:pPr>
      <w:r w:rsidRPr="006273F3">
        <w:rPr>
          <w:rFonts w:ascii="Times New Roman" w:eastAsia="Times New Roman" w:hAnsi="Times New Roman" w:cs="Times New Roman"/>
          <w:b/>
          <w:bCs/>
          <w:color w:val="333333"/>
          <w:sz w:val="26"/>
          <w:szCs w:val="26"/>
        </w:rPr>
        <w:t>2. Bổ sung nhóm thu nhập được miễn thuế trong lĩnh vực môi trường và trái phiếu xanh</w:t>
      </w:r>
    </w:p>
    <w:p w14:paraId="2C22450E"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Luật Thuế thu nhập doanh nghiệp năm 2025 đã cập nhật thêm các quy định mới liên quan đến nhóm thu nhập được miễn thuế, phản ánh định hướng thúc đẩy tăng trưởng xanh và kinh tế các-bon thấp. Cụ thể:</w:t>
      </w:r>
    </w:p>
    <w:p w14:paraId="39BFF28B"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Nhóm đối tượng miễn thuế 1: Một số thu nhập từ lĩnh vực môi trường</w:t>
      </w:r>
    </w:p>
    <w:p w14:paraId="13C8A1C7"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Doanh nghiệp sẽ được miễn thuế TNDN đối với phần thu nhập phát sinh từ việc chuyển nhượng lần đầu các tín chỉ các-bon hoặc chứng chỉ giảm phát thải sau khi được cấp phát, nếu việc chuyển nhượng này diễn ra trong khuôn khổ thị trường phát thải trong nước.</w:t>
      </w:r>
    </w:p>
    <w:p w14:paraId="12F31C9F"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Nhóm đối tượng miễn thuế 2: Lãi từ trái phiếu xanh</w:t>
      </w:r>
    </w:p>
    <w:p w14:paraId="139DC4A0"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Đồng thời, tiền lãi từ trái phiếu xanh – loại trái phiếu phát hành nhằm tài trợ cho các dự án thân thiện với môi trường – cũng được đưa vào danh mục thu nhập miễn thuế, cùng với thu nhập từ chuyển nhượng trái phiếu xanh lần đầu sau phát hành. </w:t>
      </w:r>
    </w:p>
    <w:p w14:paraId="268CDED5" w14:textId="77777777" w:rsidR="006273F3" w:rsidRPr="006273F3" w:rsidRDefault="006273F3" w:rsidP="006273F3">
      <w:pPr>
        <w:shd w:val="clear" w:color="auto" w:fill="FFFFFF"/>
        <w:spacing w:after="0" w:line="240" w:lineRule="auto"/>
        <w:jc w:val="both"/>
        <w:outlineLvl w:val="1"/>
        <w:rPr>
          <w:rFonts w:ascii="Times New Roman" w:eastAsia="Times New Roman" w:hAnsi="Times New Roman" w:cs="Times New Roman"/>
          <w:color w:val="333333"/>
          <w:sz w:val="26"/>
          <w:szCs w:val="26"/>
        </w:rPr>
      </w:pPr>
      <w:r w:rsidRPr="006273F3">
        <w:rPr>
          <w:rFonts w:ascii="Times New Roman" w:eastAsia="Times New Roman" w:hAnsi="Times New Roman" w:cs="Times New Roman"/>
          <w:b/>
          <w:bCs/>
          <w:color w:val="333333"/>
          <w:sz w:val="26"/>
          <w:szCs w:val="26"/>
        </w:rPr>
        <w:t>3. Khoản lỗ từ chuyển nhượng BĐS được bù trừ vào thu nhập tính thuế</w:t>
      </w:r>
    </w:p>
    <w:p w14:paraId="054D4768"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Một điểm thay đổi đáng chú ý trong Luật Thuế thu nhập doanh nghiệp 2025 là quy định cho phép doanh nghiệp chủ động bù trừ khoản lỗ từ hoạt động chuyển nhượng bất động sản với thu nhập từ các hoạt động sản xuất, kinh doanh khác, ngoại trừ phần đang được hưởng ưu đãi thuế.</w:t>
      </w:r>
    </w:p>
    <w:p w14:paraId="00B912D6"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Cụ thể, nếu hoạt động chuyển nhượng bất động sản phát sinh lỗ, doanh nghiệp có thể lựa chọn khấu trừ khoản lỗ này vào phần lợi nhuận từ hoạt động chính, và phần thu nhập còn lại sau bù trừ sẽ được áp dụng thuế suất tương ứng với loại hình sản xuất, kinh doanh tạo ra thu nhập.</w:t>
      </w:r>
    </w:p>
    <w:p w14:paraId="57145C1B"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lastRenderedPageBreak/>
        <w:t>Lưu ý: Riêng khoản thu nhập từ chuyển nhượng tài nguyên khoáng sản hoặc quyền tham gia dự án liên quan đến khoáng sản: đầu tư thăm dò, khai thác, chế biến,...sẽ phải kê khai riêng và không được phép bù trừ với phần thu nhập khác trong cùng kỳ tính thuế. </w:t>
      </w:r>
    </w:p>
    <w:p w14:paraId="431E52C6" w14:textId="77777777" w:rsidR="006273F3" w:rsidRPr="006273F3" w:rsidRDefault="006273F3" w:rsidP="006273F3">
      <w:pPr>
        <w:shd w:val="clear" w:color="auto" w:fill="FFFFFF"/>
        <w:spacing w:after="0" w:line="240" w:lineRule="auto"/>
        <w:jc w:val="both"/>
        <w:outlineLvl w:val="1"/>
        <w:rPr>
          <w:rFonts w:ascii="Times New Roman" w:eastAsia="Times New Roman" w:hAnsi="Times New Roman" w:cs="Times New Roman"/>
          <w:color w:val="333333"/>
          <w:sz w:val="26"/>
          <w:szCs w:val="26"/>
        </w:rPr>
      </w:pPr>
      <w:r w:rsidRPr="006273F3">
        <w:rPr>
          <w:rFonts w:ascii="Times New Roman" w:eastAsia="Times New Roman" w:hAnsi="Times New Roman" w:cs="Times New Roman"/>
          <w:b/>
          <w:bCs/>
          <w:color w:val="333333"/>
          <w:sz w:val="26"/>
          <w:szCs w:val="26"/>
        </w:rPr>
        <w:t>4. Rút ngắn thời gian miễn thuế với thu nhập từ sản phẩm công nghệ mới</w:t>
      </w:r>
    </w:p>
    <w:p w14:paraId="7D5A487F"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Một điều chỉnh đáng chú ý trong Luật Thuế thu nhập doanh nghiệp 2025 là việc giảm thời gian áp dụng miễn thuế đối với các khoản thu nhập từ hoạt động nghiên cứu, đổi mới công nghệ. Quy định này nêu tại Khoản 4, Điều 4, Luật Thuế thu nhập doanh nghiệp 2025:</w:t>
      </w:r>
    </w:p>
    <w:p w14:paraId="0B9C36C9" w14:textId="77777777" w:rsidR="006273F3" w:rsidRPr="006273F3" w:rsidRDefault="006273F3" w:rsidP="006273F3">
      <w:pPr>
        <w:shd w:val="clear" w:color="auto" w:fill="FFFFFF"/>
        <w:spacing w:after="0" w:line="240" w:lineRule="auto"/>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Như vậy, các khoản thu nhập từ chuyển giao kết quả nghiên cứu khoa học, phát triển công nghệ, chuyển đổi số hoặc thu nhập từ bán sản phẩm tạo ra từ công nghệ mới hoặc từ sản xuất thử nghiệm bao gồm cả sản xuất thử nghiệm có kiểm soát sẽ chỉ được miễn thuế tối đa trong 3 năm, thay vì 5 năm như quy định cũ.</w:t>
      </w:r>
    </w:p>
    <w:p w14:paraId="02EE803C" w14:textId="77777777" w:rsidR="006273F3" w:rsidRPr="006273F3" w:rsidRDefault="006273F3" w:rsidP="006273F3">
      <w:pPr>
        <w:shd w:val="clear" w:color="auto" w:fill="FFFFFF"/>
        <w:spacing w:after="0" w:line="240" w:lineRule="auto"/>
        <w:jc w:val="both"/>
        <w:outlineLvl w:val="1"/>
        <w:rPr>
          <w:rFonts w:ascii="Times New Roman" w:eastAsia="Times New Roman" w:hAnsi="Times New Roman" w:cs="Times New Roman"/>
          <w:color w:val="333333"/>
          <w:sz w:val="26"/>
          <w:szCs w:val="26"/>
        </w:rPr>
      </w:pPr>
      <w:r w:rsidRPr="006273F3">
        <w:rPr>
          <w:rFonts w:ascii="Times New Roman" w:eastAsia="Times New Roman" w:hAnsi="Times New Roman" w:cs="Times New Roman"/>
          <w:b/>
          <w:bCs/>
          <w:color w:val="333333"/>
          <w:sz w:val="26"/>
          <w:szCs w:val="26"/>
        </w:rPr>
        <w:t>5. Mở rộng, bổ sung nhóm chi phí được trừ khi tính thuế</w:t>
      </w:r>
    </w:p>
    <w:p w14:paraId="12BA2EA7" w14:textId="77777777" w:rsidR="006273F3" w:rsidRPr="006273F3" w:rsidRDefault="006273F3" w:rsidP="006273F3">
      <w:pPr>
        <w:shd w:val="clear" w:color="auto" w:fill="FFFFFF"/>
        <w:spacing w:after="0" w:line="240" w:lineRule="auto"/>
        <w:ind w:firstLine="72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So với Luật Thuế thu nhập doanh nghiệp hiện hành, Điều 9, Luật Thuế thu nhập doanh nghiệp 2025 đã sửa đổi, bổ sung một số quy định về các khoản chi phí được trừ, cụ thể:</w:t>
      </w:r>
    </w:p>
    <w:p w14:paraId="0B9C80A2" w14:textId="77777777" w:rsidR="006273F3" w:rsidRPr="006273F3" w:rsidRDefault="006273F3" w:rsidP="006273F3">
      <w:pPr>
        <w:shd w:val="clear" w:color="auto" w:fill="FFFFFF"/>
        <w:spacing w:after="0" w:line="240" w:lineRule="auto"/>
        <w:ind w:firstLine="720"/>
        <w:jc w:val="both"/>
        <w:outlineLvl w:val="2"/>
        <w:rPr>
          <w:rFonts w:ascii="Times New Roman" w:eastAsia="Times New Roman" w:hAnsi="Times New Roman" w:cs="Times New Roman"/>
          <w:color w:val="333333"/>
          <w:sz w:val="26"/>
          <w:szCs w:val="26"/>
        </w:rPr>
      </w:pPr>
      <w:r w:rsidRPr="006273F3">
        <w:rPr>
          <w:rFonts w:ascii="Times New Roman" w:eastAsia="Times New Roman" w:hAnsi="Times New Roman" w:cs="Times New Roman"/>
          <w:b/>
          <w:bCs/>
          <w:color w:val="333333"/>
          <w:sz w:val="26"/>
          <w:szCs w:val="26"/>
        </w:rPr>
        <w:t>Bổ sung 5 nhóm chi phí mới được tính trừ khi xác định thu nhập chịu thuế</w:t>
      </w:r>
    </w:p>
    <w:p w14:paraId="0DFF87AB" w14:textId="77777777" w:rsidR="006273F3" w:rsidRPr="006273F3" w:rsidRDefault="006273F3" w:rsidP="006273F3">
      <w:pPr>
        <w:shd w:val="clear" w:color="auto" w:fill="FFFFFF"/>
        <w:spacing w:after="0" w:line="240" w:lineRule="auto"/>
        <w:ind w:firstLine="36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Luật Thuế TNDN 2025 mở rộng diện chi phí hợp lý, cho phép doanh nghiệp ghi nhận thêm nhiều khoản chi mang tính đặc thù hoặc các khoản đầu tư bảo vệ môi trường:</w:t>
      </w:r>
    </w:p>
    <w:p w14:paraId="1F04632B" w14:textId="77777777" w:rsidR="006273F3" w:rsidRPr="006273F3" w:rsidRDefault="006273F3" w:rsidP="006273F3">
      <w:pPr>
        <w:numPr>
          <w:ilvl w:val="0"/>
          <w:numId w:val="1"/>
        </w:numPr>
        <w:shd w:val="clear" w:color="auto" w:fill="FFFFFF"/>
        <w:spacing w:after="0" w:line="240" w:lineRule="auto"/>
        <w:ind w:left="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Chi cho nhân sự biệt phái đến tổ chức tín dụng yếu kém: Các khoản chi trả cho người được cử sang điều hành, kiểm soát ngân hàng bị kiểm soát đặc biệt hoặc chuyển giao bắt buộc được chấp nhận khi tính thuế.</w:t>
      </w:r>
    </w:p>
    <w:p w14:paraId="065D3D5E" w14:textId="77777777" w:rsidR="006273F3" w:rsidRPr="006273F3" w:rsidRDefault="006273F3" w:rsidP="006273F3">
      <w:pPr>
        <w:numPr>
          <w:ilvl w:val="0"/>
          <w:numId w:val="1"/>
        </w:numPr>
        <w:shd w:val="clear" w:color="auto" w:fill="FFFFFF"/>
        <w:spacing w:after="0" w:line="240" w:lineRule="auto"/>
        <w:ind w:left="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Chi phí chưa gắn doanh thu trong kỳ: Một số khoản chi phục vụ sản xuất – kinh doanh nhưng chưa phát sinh doanh thu ngay, nếu đủ điều kiện theo quy định của Chính phủ, sẽ được tính trừ.</w:t>
      </w:r>
    </w:p>
    <w:p w14:paraId="42080355" w14:textId="77777777" w:rsidR="006273F3" w:rsidRPr="006273F3" w:rsidRDefault="006273F3" w:rsidP="006273F3">
      <w:pPr>
        <w:numPr>
          <w:ilvl w:val="0"/>
          <w:numId w:val="1"/>
        </w:numPr>
        <w:shd w:val="clear" w:color="auto" w:fill="FFFFFF"/>
        <w:spacing w:after="0" w:line="240" w:lineRule="auto"/>
        <w:ind w:left="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Đầu tư công trình công cộng phục vụ doanh nghiệp: Chi phí xây dựng hạ tầng chung như đường, điện, cấp thoát nước... nếu có liên quan đến hoạt động kinh doanh cũng được ghi nhận hợp lệ.</w:t>
      </w:r>
    </w:p>
    <w:p w14:paraId="4874B8F5" w14:textId="77777777" w:rsidR="006273F3" w:rsidRPr="006273F3" w:rsidRDefault="006273F3" w:rsidP="006273F3">
      <w:pPr>
        <w:numPr>
          <w:ilvl w:val="0"/>
          <w:numId w:val="1"/>
        </w:numPr>
        <w:shd w:val="clear" w:color="auto" w:fill="FFFFFF"/>
        <w:spacing w:after="0" w:line="240" w:lineRule="auto"/>
        <w:ind w:left="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Chi cho hoạt động giảm phát thải, bảo vệ môi trường: Các khoản đầu tư nhằm trung hòa các-bon, giảm ô nhiễm – nếu liên quan đến hoạt động sản xuất – kinh doanh – được tính vào chi phí được trừ.</w:t>
      </w:r>
    </w:p>
    <w:p w14:paraId="40E86A1E" w14:textId="77777777" w:rsidR="006273F3" w:rsidRPr="006273F3" w:rsidRDefault="006273F3" w:rsidP="006273F3">
      <w:pPr>
        <w:numPr>
          <w:ilvl w:val="0"/>
          <w:numId w:val="1"/>
        </w:numPr>
        <w:shd w:val="clear" w:color="auto" w:fill="FFFFFF"/>
        <w:spacing w:after="0" w:line="240" w:lineRule="auto"/>
        <w:ind w:left="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Đóng góp vào quỹ theo quyết định của Thủ tướng: Các khoản đóng góp đúng quy định vào các quỹ được thành lập bởi Thủ tướng cũng được đưa vào chi phí hợp lý khi tính thuế.</w:t>
      </w:r>
    </w:p>
    <w:p w14:paraId="2F3BD5F2" w14:textId="77777777" w:rsidR="006273F3" w:rsidRPr="006273F3" w:rsidRDefault="006273F3" w:rsidP="006273F3">
      <w:pPr>
        <w:shd w:val="clear" w:color="auto" w:fill="FFFFFF"/>
        <w:spacing w:after="0" w:line="240" w:lineRule="auto"/>
        <w:ind w:firstLine="360"/>
        <w:jc w:val="both"/>
        <w:outlineLvl w:val="1"/>
        <w:rPr>
          <w:rFonts w:ascii="Times New Roman" w:eastAsia="Times New Roman" w:hAnsi="Times New Roman" w:cs="Times New Roman"/>
          <w:color w:val="333333"/>
          <w:sz w:val="26"/>
          <w:szCs w:val="26"/>
        </w:rPr>
      </w:pPr>
      <w:r w:rsidRPr="006273F3">
        <w:rPr>
          <w:rFonts w:ascii="Times New Roman" w:eastAsia="Times New Roman" w:hAnsi="Times New Roman" w:cs="Times New Roman"/>
          <w:b/>
          <w:bCs/>
          <w:color w:val="333333"/>
          <w:sz w:val="26"/>
          <w:szCs w:val="26"/>
        </w:rPr>
        <w:t>Số thuế GTGT đầu vào không khấu trừ hết có thể hạch toán vào chi phí</w:t>
      </w:r>
    </w:p>
    <w:p w14:paraId="258B5E9C" w14:textId="77777777" w:rsidR="006273F3" w:rsidRPr="006273F3" w:rsidRDefault="006273F3" w:rsidP="006273F3">
      <w:pPr>
        <w:shd w:val="clear" w:color="auto" w:fill="FFFFFF"/>
        <w:spacing w:after="0" w:line="240" w:lineRule="auto"/>
        <w:ind w:firstLine="36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Luật Thuế TNDN 2025 cho phép doanh nghiệp được tính vào chi phí được trừ phần thuế GTGT đầu vào chưa khấu trừ hết, với điều kiện khoản thuế này không đủ điều kiện hoàn thuế và liên quan trực tiếp đến hoạt động sản xuất, kinh doanh.</w:t>
      </w:r>
    </w:p>
    <w:p w14:paraId="6EB95B43" w14:textId="77777777" w:rsidR="006273F3" w:rsidRPr="006273F3" w:rsidRDefault="006273F3" w:rsidP="006273F3">
      <w:pPr>
        <w:shd w:val="clear" w:color="auto" w:fill="FFFFFF"/>
        <w:spacing w:after="0" w:line="240" w:lineRule="auto"/>
        <w:ind w:firstLine="360"/>
        <w:jc w:val="both"/>
        <w:rPr>
          <w:rFonts w:ascii="Times New Roman" w:eastAsia="Times New Roman" w:hAnsi="Times New Roman" w:cs="Times New Roman"/>
          <w:color w:val="333333"/>
          <w:sz w:val="26"/>
          <w:szCs w:val="26"/>
        </w:rPr>
      </w:pPr>
      <w:r w:rsidRPr="006273F3">
        <w:rPr>
          <w:rFonts w:ascii="Times New Roman" w:eastAsia="Times New Roman" w:hAnsi="Times New Roman" w:cs="Times New Roman"/>
          <w:color w:val="333333"/>
          <w:sz w:val="26"/>
          <w:szCs w:val="26"/>
        </w:rPr>
        <w:t>Tuy nhiên, nếu doanh nghiệp đã đưa khoản thuế này vào chi phí được trừ khi xác định thu nhập chịu thuế TNDN thì không được tiếp tục sử dụng để khấu trừ với </w:t>
      </w:r>
      <w:hyperlink r:id="rId6" w:tgtFrame="_blank" w:tooltip="thuế GTGT đầu ra" w:history="1">
        <w:r w:rsidRPr="006273F3">
          <w:rPr>
            <w:rFonts w:ascii="Times New Roman" w:eastAsia="Times New Roman" w:hAnsi="Times New Roman" w:cs="Times New Roman"/>
            <w:color w:val="007BFF"/>
            <w:sz w:val="26"/>
            <w:szCs w:val="26"/>
            <w:u w:val="single"/>
          </w:rPr>
          <w:t>thuế GTGT đầu ra</w:t>
        </w:r>
      </w:hyperlink>
      <w:r w:rsidRPr="006273F3">
        <w:rPr>
          <w:rFonts w:ascii="Times New Roman" w:eastAsia="Times New Roman" w:hAnsi="Times New Roman" w:cs="Times New Roman"/>
          <w:color w:val="333333"/>
          <w:sz w:val="26"/>
          <w:szCs w:val="26"/>
        </w:rPr>
        <w:t>, tránh tình trạng hạch toán hai lần.</w:t>
      </w:r>
    </w:p>
    <w:sectPr w:rsidR="006273F3" w:rsidRPr="00627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405D"/>
    <w:multiLevelType w:val="multilevel"/>
    <w:tmpl w:val="0422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84FBB"/>
    <w:multiLevelType w:val="multilevel"/>
    <w:tmpl w:val="FDF6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93838"/>
    <w:multiLevelType w:val="multilevel"/>
    <w:tmpl w:val="E5E8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829180">
    <w:abstractNumId w:val="2"/>
  </w:num>
  <w:num w:numId="2" w16cid:durableId="1671373788">
    <w:abstractNumId w:val="0"/>
  </w:num>
  <w:num w:numId="3" w16cid:durableId="31615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3F3"/>
    <w:rsid w:val="000A5813"/>
    <w:rsid w:val="00563FE6"/>
    <w:rsid w:val="006273F3"/>
    <w:rsid w:val="00697A70"/>
    <w:rsid w:val="00CE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1663"/>
  <w15:docId w15:val="{FC00CA1E-4C84-A540-A966-DEF3085A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7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73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73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3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73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73F3"/>
    <w:rPr>
      <w:rFonts w:ascii="Times New Roman" w:eastAsia="Times New Roman" w:hAnsi="Times New Roman" w:cs="Times New Roman"/>
      <w:b/>
      <w:bCs/>
      <w:sz w:val="27"/>
      <w:szCs w:val="27"/>
    </w:rPr>
  </w:style>
  <w:style w:type="character" w:customStyle="1" w:styleId="Date1">
    <w:name w:val="Date1"/>
    <w:basedOn w:val="DefaultParagraphFont"/>
    <w:rsid w:val="006273F3"/>
  </w:style>
  <w:style w:type="character" w:customStyle="1" w:styleId="ignorable">
    <w:name w:val="ignorable"/>
    <w:basedOn w:val="DefaultParagraphFont"/>
    <w:rsid w:val="006273F3"/>
  </w:style>
  <w:style w:type="character" w:customStyle="1" w:styleId="view">
    <w:name w:val="view"/>
    <w:basedOn w:val="DefaultParagraphFont"/>
    <w:rsid w:val="006273F3"/>
  </w:style>
  <w:style w:type="paragraph" w:styleId="NormalWeb">
    <w:name w:val="Normal (Web)"/>
    <w:basedOn w:val="Normal"/>
    <w:uiPriority w:val="99"/>
    <w:unhideWhenUsed/>
    <w:rsid w:val="006273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73F3"/>
    <w:rPr>
      <w:b/>
      <w:bCs/>
    </w:rPr>
  </w:style>
  <w:style w:type="character" w:styleId="Hyperlink">
    <w:name w:val="Hyperlink"/>
    <w:basedOn w:val="DefaultParagraphFont"/>
    <w:uiPriority w:val="99"/>
    <w:semiHidden/>
    <w:unhideWhenUsed/>
    <w:rsid w:val="006273F3"/>
    <w:rPr>
      <w:color w:val="0000FF"/>
      <w:u w:val="single"/>
    </w:rPr>
  </w:style>
  <w:style w:type="character" w:styleId="Emphasis">
    <w:name w:val="Emphasis"/>
    <w:basedOn w:val="DefaultParagraphFont"/>
    <w:uiPriority w:val="20"/>
    <w:qFormat/>
    <w:rsid w:val="006273F3"/>
    <w:rPr>
      <w:i/>
      <w:iCs/>
    </w:rPr>
  </w:style>
  <w:style w:type="paragraph" w:styleId="BalloonText">
    <w:name w:val="Balloon Text"/>
    <w:basedOn w:val="Normal"/>
    <w:link w:val="BalloonTextChar"/>
    <w:uiPriority w:val="99"/>
    <w:semiHidden/>
    <w:unhideWhenUsed/>
    <w:rsid w:val="00627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9432">
      <w:bodyDiv w:val="1"/>
      <w:marLeft w:val="0"/>
      <w:marRight w:val="0"/>
      <w:marTop w:val="0"/>
      <w:marBottom w:val="0"/>
      <w:divBdr>
        <w:top w:val="none" w:sz="0" w:space="0" w:color="auto"/>
        <w:left w:val="none" w:sz="0" w:space="0" w:color="auto"/>
        <w:bottom w:val="none" w:sz="0" w:space="0" w:color="auto"/>
        <w:right w:val="none" w:sz="0" w:space="0" w:color="auto"/>
      </w:divBdr>
      <w:divsChild>
        <w:div w:id="1825660909">
          <w:marLeft w:val="0"/>
          <w:marRight w:val="0"/>
          <w:marTop w:val="0"/>
          <w:marBottom w:val="0"/>
          <w:divBdr>
            <w:top w:val="single" w:sz="6" w:space="0" w:color="EAEAEA"/>
            <w:left w:val="none" w:sz="0" w:space="0" w:color="auto"/>
            <w:bottom w:val="none" w:sz="0" w:space="0" w:color="auto"/>
            <w:right w:val="none" w:sz="0" w:space="0" w:color="auto"/>
          </w:divBdr>
        </w:div>
        <w:div w:id="74838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invoice.vn/tin-tuc/thue-gtgt-ban-ra-cach-tinh-va-luu-y-cho-doanh-nghiep" TargetMode="External"/><Relationship Id="rId5" Type="http://schemas.openxmlformats.org/officeDocument/2006/relationships/hyperlink" Target="https://einvoice.vn/tin-tuc/huong-dan-tinh-thue-tncn-theo-cong-thuc-chuan-co-vi-du-cu-t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3</cp:revision>
  <dcterms:created xsi:type="dcterms:W3CDTF">2025-09-14T07:43:00Z</dcterms:created>
  <dcterms:modified xsi:type="dcterms:W3CDTF">2025-09-15T05:03:00Z</dcterms:modified>
</cp:coreProperties>
</file>