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FEC" w:rsidRPr="00F03129" w:rsidRDefault="00F03129" w:rsidP="007F26F5">
      <w:pPr>
        <w:spacing w:after="0" w:line="360" w:lineRule="auto"/>
        <w:jc w:val="center"/>
        <w:outlineLvl w:val="0"/>
        <w:rPr>
          <w:rFonts w:ascii="Times New Roman" w:eastAsia="Times New Roman" w:hAnsi="Times New Roman" w:cs="Times New Roman"/>
          <w:b/>
          <w:bCs/>
          <w:kern w:val="36"/>
          <w:sz w:val="26"/>
          <w:szCs w:val="26"/>
        </w:rPr>
      </w:pPr>
      <w:r w:rsidRPr="00F03129">
        <w:rPr>
          <w:rFonts w:ascii="Times New Roman" w:eastAsia="Times New Roman" w:hAnsi="Times New Roman" w:cs="Times New Roman"/>
          <w:b/>
          <w:bCs/>
          <w:kern w:val="36"/>
          <w:sz w:val="26"/>
          <w:szCs w:val="26"/>
        </w:rPr>
        <w:t>NHỮNG ĐIỂM MỚI VỀ LUẬT THUẾ GIÁ TRỊ GIA TĂNG NĂM 2024</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Ngày 26/11/2024 </w:t>
      </w:r>
      <w:hyperlink r:id="rId5" w:tgtFrame="_blank" w:history="1">
        <w:r w:rsidRPr="00F03129">
          <w:rPr>
            <w:rFonts w:ascii="Times New Roman" w:eastAsia="Times New Roman" w:hAnsi="Times New Roman" w:cs="Times New Roman"/>
            <w:sz w:val="26"/>
            <w:szCs w:val="26"/>
          </w:rPr>
          <w:t>Luật Thuế giá trị gia tăng 2024 </w:t>
        </w:r>
      </w:hyperlink>
      <w:r w:rsidRPr="00F03129">
        <w:rPr>
          <w:rFonts w:ascii="Times New Roman" w:eastAsia="Times New Roman" w:hAnsi="Times New Roman" w:cs="Times New Roman"/>
          <w:sz w:val="26"/>
          <w:szCs w:val="26"/>
        </w:rPr>
        <w:t>thay thế cho </w:t>
      </w:r>
      <w:hyperlink r:id="rId6" w:tgtFrame="_blank" w:history="1">
        <w:r w:rsidRPr="00F03129">
          <w:rPr>
            <w:rFonts w:ascii="Times New Roman" w:eastAsia="Times New Roman" w:hAnsi="Times New Roman" w:cs="Times New Roman"/>
            <w:sz w:val="26"/>
            <w:szCs w:val="26"/>
          </w:rPr>
          <w:t>Luật Thuế giá trị gia tăng 2008</w:t>
        </w:r>
      </w:hyperlink>
      <w:r w:rsidRPr="00F03129">
        <w:rPr>
          <w:rFonts w:ascii="Times New Roman" w:eastAsia="Times New Roman" w:hAnsi="Times New Roman" w:cs="Times New Roman"/>
          <w:sz w:val="26"/>
          <w:szCs w:val="26"/>
        </w:rPr>
        <w:t> đã được Quốc hội thông qua và sẽ chính thức có hiệu lực từ ngày 01/7/2025.</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xml:space="preserve">Theo đó, </w:t>
      </w:r>
      <w:r w:rsidR="00F03129" w:rsidRPr="00F03129">
        <w:rPr>
          <w:rFonts w:ascii="Times New Roman" w:eastAsia="Times New Roman" w:hAnsi="Times New Roman" w:cs="Times New Roman"/>
          <w:sz w:val="26"/>
          <w:szCs w:val="26"/>
        </w:rPr>
        <w:t>những</w:t>
      </w:r>
      <w:r w:rsidRPr="00F03129">
        <w:rPr>
          <w:rFonts w:ascii="Times New Roman" w:eastAsia="Times New Roman" w:hAnsi="Times New Roman" w:cs="Times New Roman"/>
          <w:sz w:val="26"/>
          <w:szCs w:val="26"/>
        </w:rPr>
        <w:t xml:space="preserve"> điểm mới nổi bật của </w:t>
      </w:r>
      <w:hyperlink r:id="rId7" w:tgtFrame="_blank" w:history="1">
        <w:r w:rsidRPr="00F03129">
          <w:rPr>
            <w:rFonts w:ascii="Times New Roman" w:eastAsia="Times New Roman" w:hAnsi="Times New Roman" w:cs="Times New Roman"/>
            <w:sz w:val="26"/>
            <w:szCs w:val="26"/>
          </w:rPr>
          <w:t>Luật Thuế giá trị gia tăng 2024</w:t>
        </w:r>
      </w:hyperlink>
      <w:r w:rsidRPr="00F03129">
        <w:rPr>
          <w:rFonts w:ascii="Times New Roman" w:eastAsia="Times New Roman" w:hAnsi="Times New Roman" w:cs="Times New Roman"/>
          <w:sz w:val="26"/>
          <w:szCs w:val="26"/>
        </w:rPr>
        <w:t> gồm:</w:t>
      </w:r>
    </w:p>
    <w:tbl>
      <w:tblPr>
        <w:tblW w:w="9064" w:type="dxa"/>
        <w:tblCellMar>
          <w:top w:w="15" w:type="dxa"/>
          <w:left w:w="15" w:type="dxa"/>
          <w:bottom w:w="15" w:type="dxa"/>
          <w:right w:w="15" w:type="dxa"/>
        </w:tblCellMar>
        <w:tblLook w:val="04A0" w:firstRow="1" w:lastRow="0" w:firstColumn="1" w:lastColumn="0" w:noHBand="0" w:noVBand="1"/>
      </w:tblPr>
      <w:tblGrid>
        <w:gridCol w:w="1190"/>
        <w:gridCol w:w="5181"/>
        <w:gridCol w:w="2693"/>
      </w:tblGrid>
      <w:tr w:rsidR="00F03129" w:rsidRPr="00F03129" w:rsidTr="007F26F5">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b/>
                <w:bCs/>
                <w:sz w:val="26"/>
                <w:szCs w:val="26"/>
              </w:rPr>
              <w:t>Điểm mới Luật Thuế giá trị gia tăng 2024</w:t>
            </w:r>
          </w:p>
        </w:tc>
        <w:tc>
          <w:tcPr>
            <w:tcW w:w="5181"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b/>
                <w:bCs/>
                <w:sz w:val="26"/>
                <w:szCs w:val="26"/>
              </w:rPr>
              <w:t>Nội dung của các điểm mới</w:t>
            </w:r>
          </w:p>
        </w:tc>
        <w:tc>
          <w:tcPr>
            <w:tcW w:w="269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b/>
                <w:bCs/>
                <w:sz w:val="26"/>
                <w:szCs w:val="26"/>
              </w:rPr>
              <w:t>Luật Thuế giá trị gia tăng hiện hành</w:t>
            </w:r>
          </w:p>
        </w:tc>
      </w:tr>
      <w:tr w:rsidR="007F26F5" w:rsidRPr="00F03129" w:rsidTr="007F26F5">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tcPr>
          <w:p w:rsidR="00F03129" w:rsidRPr="00F03129" w:rsidRDefault="00F03129" w:rsidP="007F26F5">
            <w:pPr>
              <w:spacing w:after="0" w:line="360" w:lineRule="auto"/>
              <w:jc w:val="center"/>
              <w:rPr>
                <w:rFonts w:ascii="Times New Roman" w:eastAsia="Times New Roman" w:hAnsi="Times New Roman" w:cs="Times New Roman"/>
                <w:b/>
                <w:bCs/>
                <w:sz w:val="26"/>
                <w:szCs w:val="26"/>
              </w:rPr>
            </w:pPr>
            <w:r w:rsidRPr="00F03129">
              <w:rPr>
                <w:rFonts w:ascii="Times New Roman" w:eastAsia="Times New Roman" w:hAnsi="Times New Roman" w:cs="Times New Roman"/>
                <w:b/>
                <w:bCs/>
                <w:sz w:val="26"/>
                <w:szCs w:val="26"/>
              </w:rPr>
              <w:t xml:space="preserve">Về người nộp thuế </w:t>
            </w:r>
          </w:p>
        </w:tc>
        <w:tc>
          <w:tcPr>
            <w:tcW w:w="5181"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tcPr>
          <w:p w:rsidR="00F03129" w:rsidRPr="00F03129" w:rsidRDefault="00F03129"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Bổ sung quy định về người nộp thuế đối với hoạt động kinh doanh thương mại điện tử, kinh doanh dựa trên nền tảng số, cụ thể:</w:t>
            </w:r>
          </w:p>
          <w:p w:rsidR="00F03129" w:rsidRPr="00F03129" w:rsidRDefault="00F03129"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p>
          <w:p w:rsidR="00F03129" w:rsidRPr="00F03129" w:rsidRDefault="00F03129"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lastRenderedPageBreak/>
              <w:t>-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rsidR="00F03129" w:rsidRPr="00F03129" w:rsidRDefault="00F03129" w:rsidP="007F26F5">
            <w:pPr>
              <w:spacing w:after="0" w:line="360" w:lineRule="auto"/>
              <w:jc w:val="center"/>
              <w:rPr>
                <w:rFonts w:ascii="Times New Roman" w:eastAsia="Times New Roman" w:hAnsi="Times New Roman" w:cs="Times New Roman"/>
                <w:sz w:val="26"/>
                <w:szCs w:val="26"/>
              </w:rPr>
            </w:pPr>
          </w:p>
        </w:tc>
        <w:tc>
          <w:tcPr>
            <w:tcW w:w="269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tcPr>
          <w:p w:rsidR="00F03129" w:rsidRPr="00F03129" w:rsidRDefault="00F03129" w:rsidP="007F26F5">
            <w:pPr>
              <w:spacing w:after="0" w:line="360" w:lineRule="auto"/>
              <w:jc w:val="center"/>
              <w:rPr>
                <w:rFonts w:ascii="Times New Roman" w:eastAsia="Times New Roman" w:hAnsi="Times New Roman" w:cs="Times New Roman"/>
                <w:b/>
                <w:bCs/>
                <w:sz w:val="26"/>
                <w:szCs w:val="26"/>
              </w:rPr>
            </w:pPr>
          </w:p>
        </w:tc>
      </w:tr>
      <w:tr w:rsidR="00F03129" w:rsidRPr="00F03129" w:rsidTr="007F26F5">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b/>
                <w:bCs/>
                <w:sz w:val="26"/>
                <w:szCs w:val="26"/>
              </w:rPr>
              <w:lastRenderedPageBreak/>
              <w:t>Điều chỉnh đối tượng không chịu thuế GTGT</w:t>
            </w:r>
          </w:p>
        </w:tc>
        <w:tc>
          <w:tcPr>
            <w:tcW w:w="5181"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F03129" w:rsidRPr="00F03129" w:rsidRDefault="00F03129"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Bỏ quy định: Doanh nghiệp, hợp tác xã mua sản phẩm trồng trọt, chăn nuôi, thuỷ sản nuôi trồng, đánh bắt chưa chế biến thành các sản phẩm khác hoặc chỉ qua sơ chế thông thường bán cho doanh nghiệp, hợp tác xã khác thì không phải kê khai, tính nộp thuế GTGT nhưng được khẩu trừ thuế GTGT đầuvào.</w:t>
            </w:r>
          </w:p>
          <w:p w:rsidR="00F03129" w:rsidRPr="00F03129" w:rsidRDefault="00F03129"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B</w:t>
            </w:r>
            <w:r w:rsidRPr="00F03129">
              <w:rPr>
                <w:rFonts w:ascii="Times New Roman" w:eastAsia="Times New Roman" w:hAnsi="Times New Roman" w:cs="Times New Roman"/>
                <w:sz w:val="26"/>
                <w:szCs w:val="26"/>
              </w:rPr>
              <w:t>ổ sung vào đối tượng không chịu thuế đối với: (i) Các khoản phí được nêu cụ thể tại Hợp đồng vay vốn của Chính phủ Việt Nam với Bên cho vay nước ngoài; (ii) hàng hóa nhập khẩu từ nước ngoài của công ty cho thuê tài chính được vận chuyển thẳng vào khu phi thuế quan để cho doanh nghiệp trong khu phi thuế quan thuê tài chính; (iii) hàng hóa nhập khẩu ủng hộ, tài trợ cho phòng, chống, khắc phục hậu quả thảm họa, thiên tai, dịch bệnh, chiến tranh theo quy định của Chính phủ; (iv) di vật, cổ vật, bảo vật quốc gia theo quy định của pháp luật về di sản văn hóa do cơ quan nhà nước có thẩm quyền nhập khẩu.</w:t>
            </w:r>
          </w:p>
          <w:p w:rsidR="00606FEC" w:rsidRPr="00F03129" w:rsidRDefault="00606FEC" w:rsidP="007F26F5">
            <w:pPr>
              <w:spacing w:after="0" w:line="360" w:lineRule="auto"/>
              <w:jc w:val="center"/>
              <w:rPr>
                <w:rFonts w:ascii="Times New Roman" w:eastAsia="Times New Roman" w:hAnsi="Times New Roman" w:cs="Times New Roman"/>
                <w:sz w:val="26"/>
                <w:szCs w:val="26"/>
              </w:rPr>
            </w:pPr>
          </w:p>
        </w:tc>
        <w:tc>
          <w:tcPr>
            <w:tcW w:w="269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Theo</w:t>
            </w:r>
            <w:hyperlink r:id="rId8" w:tgtFrame="_blank" w:history="1">
              <w:r w:rsidRPr="00F03129">
                <w:rPr>
                  <w:rFonts w:ascii="Times New Roman" w:eastAsia="Times New Roman" w:hAnsi="Times New Roman" w:cs="Times New Roman"/>
                  <w:sz w:val="26"/>
                  <w:szCs w:val="26"/>
                </w:rPr>
                <w:t> Luật Thuế giá trị gia tăng 2008 </w:t>
              </w:r>
            </w:hyperlink>
            <w:r w:rsidRPr="00F03129">
              <w:rPr>
                <w:rFonts w:ascii="Times New Roman" w:eastAsia="Times New Roman" w:hAnsi="Times New Roman" w:cs="Times New Roman"/>
                <w:sz w:val="26"/>
                <w:szCs w:val="26"/>
              </w:rPr>
              <w:t>quy định: Sản phẩm xuất khẩu là hàng hóa được chế biến từ tài nguyên, khoáng sản có tổng trị giá tài nguyên, khoáng sản cộng với chi phí năng lượng chiếm từ 51% giá thành sản phẩm trở lên thì thuộc đối tượng không chịu thuế GTGT.</w:t>
            </w:r>
          </w:p>
          <w:p w:rsidR="00606FEC" w:rsidRPr="00F03129" w:rsidRDefault="00606FEC" w:rsidP="007F26F5">
            <w:pPr>
              <w:spacing w:after="0" w:line="360" w:lineRule="auto"/>
              <w:jc w:val="center"/>
              <w:rPr>
                <w:rFonts w:ascii="Times New Roman" w:eastAsia="Times New Roman" w:hAnsi="Times New Roman" w:cs="Times New Roman"/>
                <w:sz w:val="26"/>
                <w:szCs w:val="26"/>
              </w:rPr>
            </w:pPr>
          </w:p>
        </w:tc>
      </w:tr>
      <w:tr w:rsidR="00F03129" w:rsidRPr="00F03129" w:rsidTr="007F26F5">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b/>
                <w:bCs/>
                <w:sz w:val="26"/>
                <w:szCs w:val="26"/>
              </w:rPr>
              <w:lastRenderedPageBreak/>
              <w:t>Sửa đổi giá tính thuế đối với hàng nhập khẩu</w:t>
            </w:r>
          </w:p>
        </w:tc>
        <w:tc>
          <w:tcPr>
            <w:tcW w:w="5181"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Từ 01/7/2025, theo Điều 7</w:t>
            </w:r>
            <w:hyperlink r:id="rId9" w:tgtFrame="_blank" w:history="1">
              <w:r w:rsidRPr="00F03129">
                <w:rPr>
                  <w:rFonts w:ascii="Times New Roman" w:eastAsia="Times New Roman" w:hAnsi="Times New Roman" w:cs="Times New Roman"/>
                  <w:sz w:val="26"/>
                  <w:szCs w:val="26"/>
                </w:rPr>
                <w:t> Luật Thuế giá trị gia tăng 2024 </w:t>
              </w:r>
            </w:hyperlink>
            <w:r w:rsidRPr="00F03129">
              <w:rPr>
                <w:rFonts w:ascii="Times New Roman" w:eastAsia="Times New Roman" w:hAnsi="Times New Roman" w:cs="Times New Roman"/>
                <w:sz w:val="26"/>
                <w:szCs w:val="26"/>
              </w:rPr>
              <w:t>giá tính thuế GTGT đối với hàng nhập khẩu sẽ bao gồm: giá tính thuế nhập khẩu + thuế nhập khẩu (kể cả bổ sung nếu có) + thuế tiêu thụ đặc biệt (nếu có) + thuế bảo vệ môi trường (nếu có).</w:t>
            </w:r>
          </w:p>
          <w:p w:rsidR="00606FEC" w:rsidRPr="00F03129" w:rsidRDefault="00606FEC" w:rsidP="007F26F5">
            <w:pPr>
              <w:spacing w:after="0" w:line="360" w:lineRule="auto"/>
              <w:jc w:val="center"/>
              <w:rPr>
                <w:rFonts w:ascii="Times New Roman" w:eastAsia="Times New Roman" w:hAnsi="Times New Roman" w:cs="Times New Roman"/>
                <w:sz w:val="26"/>
                <w:szCs w:val="26"/>
              </w:rPr>
            </w:pPr>
          </w:p>
        </w:tc>
        <w:tc>
          <w:tcPr>
            <w:tcW w:w="269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Tại Điều 7 </w:t>
            </w:r>
            <w:hyperlink r:id="rId10" w:tgtFrame="_blank" w:history="1">
              <w:r w:rsidRPr="00F03129">
                <w:rPr>
                  <w:rFonts w:ascii="Times New Roman" w:eastAsia="Times New Roman" w:hAnsi="Times New Roman" w:cs="Times New Roman"/>
                  <w:sz w:val="26"/>
                  <w:szCs w:val="26"/>
                </w:rPr>
                <w:t>Luật Thuế giá trị gia tăng 2008</w:t>
              </w:r>
            </w:hyperlink>
            <w:r w:rsidRPr="00F03129">
              <w:rPr>
                <w:rFonts w:ascii="Times New Roman" w:eastAsia="Times New Roman" w:hAnsi="Times New Roman" w:cs="Times New Roman"/>
                <w:sz w:val="26"/>
                <w:szCs w:val="26"/>
              </w:rPr>
              <w:t>, giá tính thuế đối với hàng hóa nhập khẩu là giá nhập tại cửa khẩu cộng với thuế nhập khẩu (nếu có + thuế tiêu thụ đặc biệt (nếu có) + thuế bảo vệ môi trường (nếu có).</w:t>
            </w:r>
          </w:p>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Giá nhập tại cửa khẩu được xác định theo quy định về giá tính thuế hàng nhập khẩu.</w:t>
            </w:r>
          </w:p>
        </w:tc>
      </w:tr>
      <w:tr w:rsidR="00F03129" w:rsidRPr="00F03129" w:rsidTr="007F26F5">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b/>
                <w:bCs/>
                <w:sz w:val="26"/>
                <w:szCs w:val="26"/>
              </w:rPr>
              <w:t>Bổ sung quy định với hàng hóa khuyến mại</w:t>
            </w:r>
          </w:p>
        </w:tc>
        <w:tc>
          <w:tcPr>
            <w:tcW w:w="5181"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Tại Điều 7</w:t>
            </w:r>
            <w:hyperlink r:id="rId11" w:tgtFrame="_blank" w:history="1">
              <w:r w:rsidRPr="00F03129">
                <w:rPr>
                  <w:rFonts w:ascii="Times New Roman" w:eastAsia="Times New Roman" w:hAnsi="Times New Roman" w:cs="Times New Roman"/>
                  <w:sz w:val="26"/>
                  <w:szCs w:val="26"/>
                </w:rPr>
                <w:t> Luật Thuế giá trị gia tăng 2024 </w:t>
              </w:r>
            </w:hyperlink>
            <w:r w:rsidRPr="00F03129">
              <w:rPr>
                <w:rFonts w:ascii="Times New Roman" w:eastAsia="Times New Roman" w:hAnsi="Times New Roman" w:cs="Times New Roman"/>
                <w:sz w:val="26"/>
                <w:szCs w:val="26"/>
              </w:rPr>
              <w:t>bổ sung quy định: Giá tính thuế đối với hàng hóa, dịch vụ dùng để khuyến mại theo quy định của pháp luật về thương mại, giá tính thuế được xác định bằng 0.</w:t>
            </w:r>
          </w:p>
        </w:tc>
        <w:tc>
          <w:tcPr>
            <w:tcW w:w="269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Nội dung này không có ở</w:t>
            </w:r>
            <w:hyperlink r:id="rId12" w:tgtFrame="_blank" w:history="1">
              <w:r w:rsidRPr="00F03129">
                <w:rPr>
                  <w:rFonts w:ascii="Times New Roman" w:eastAsia="Times New Roman" w:hAnsi="Times New Roman" w:cs="Times New Roman"/>
                  <w:sz w:val="26"/>
                  <w:szCs w:val="26"/>
                </w:rPr>
                <w:t> Luật Thuế giá trị gia tăng 2008</w:t>
              </w:r>
            </w:hyperlink>
          </w:p>
          <w:p w:rsidR="00606FEC" w:rsidRPr="00F03129" w:rsidRDefault="00606FEC" w:rsidP="007F26F5">
            <w:pPr>
              <w:spacing w:after="0" w:line="360" w:lineRule="auto"/>
              <w:jc w:val="center"/>
              <w:rPr>
                <w:rFonts w:ascii="Times New Roman" w:eastAsia="Times New Roman" w:hAnsi="Times New Roman" w:cs="Times New Roman"/>
                <w:sz w:val="26"/>
                <w:szCs w:val="26"/>
              </w:rPr>
            </w:pPr>
          </w:p>
        </w:tc>
      </w:tr>
      <w:tr w:rsidR="00F03129" w:rsidRPr="00F03129" w:rsidTr="007F26F5">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b/>
                <w:bCs/>
                <w:sz w:val="26"/>
                <w:szCs w:val="26"/>
              </w:rPr>
              <w:t>Điều chỉnh thuế suất GTGT một số hàng hóa, dịch vụ</w:t>
            </w:r>
          </w:p>
        </w:tc>
        <w:tc>
          <w:tcPr>
            <w:tcW w:w="5181"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Tại khoản 2 Điều 9 </w:t>
            </w:r>
            <w:hyperlink r:id="rId13" w:tgtFrame="_blank" w:history="1">
              <w:r w:rsidRPr="00F03129">
                <w:rPr>
                  <w:rFonts w:ascii="Times New Roman" w:eastAsia="Times New Roman" w:hAnsi="Times New Roman" w:cs="Times New Roman"/>
                  <w:sz w:val="26"/>
                  <w:szCs w:val="26"/>
                </w:rPr>
                <w:t>Luật Thuế giá trị gia tăng 2024</w:t>
              </w:r>
            </w:hyperlink>
            <w:r w:rsidRPr="00F03129">
              <w:rPr>
                <w:rFonts w:ascii="Times New Roman" w:eastAsia="Times New Roman" w:hAnsi="Times New Roman" w:cs="Times New Roman"/>
                <w:sz w:val="26"/>
                <w:szCs w:val="26"/>
              </w:rPr>
              <w:t>, các sản phẩm không chịu thuế chuyển sang chịu thuế 5%:</w:t>
            </w:r>
          </w:p>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Phân bón;</w:t>
            </w:r>
          </w:p>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Tàu khai thác thủy sản tại vùng biển.</w:t>
            </w:r>
          </w:p>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Các sản phẩm áp dụng thuế suất 5% chuyển sang 10%</w:t>
            </w:r>
          </w:p>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Lâm sản chưa qua chế biến;</w:t>
            </w:r>
          </w:p>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Đường; phụ phẩm trong sản xuất đường, bao gồm gỉ đường, bã mía, bã bùn;</w:t>
            </w:r>
          </w:p>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lastRenderedPageBreak/>
              <w:t>+ Các loại thiết bị, dụng cụ chuyên dùng cho giảng dạy, nghiên cứu, thí nghiệm khoa học</w:t>
            </w:r>
          </w:p>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Hoạt động văn hóa, triển lãm, thể dục, thể thao; biểu diễn nghệ thuật; sản xuất phim; nhập khẩu, phát hành và chiếu phim.</w:t>
            </w:r>
          </w:p>
        </w:tc>
        <w:tc>
          <w:tcPr>
            <w:tcW w:w="269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lastRenderedPageBreak/>
              <w:t>Tại khoản 2</w:t>
            </w:r>
            <w:hyperlink r:id="rId14" w:tgtFrame="_blank" w:history="1">
              <w:r w:rsidRPr="00F03129">
                <w:rPr>
                  <w:rFonts w:ascii="Times New Roman" w:eastAsia="Times New Roman" w:hAnsi="Times New Roman" w:cs="Times New Roman"/>
                  <w:sz w:val="26"/>
                  <w:szCs w:val="26"/>
                </w:rPr>
                <w:t> Điều 8 Luật Thuế giá trị gia tăng 2008</w:t>
              </w:r>
            </w:hyperlink>
            <w:r w:rsidRPr="00F03129">
              <w:rPr>
                <w:rFonts w:ascii="Times New Roman" w:eastAsia="Times New Roman" w:hAnsi="Times New Roman" w:cs="Times New Roman"/>
                <w:sz w:val="26"/>
                <w:szCs w:val="26"/>
              </w:rPr>
              <w:t>, các sản phẩm này nằm trong đối tượng chịu thuế suất 5%</w:t>
            </w:r>
          </w:p>
          <w:p w:rsidR="00606FEC" w:rsidRPr="00F03129" w:rsidRDefault="00606FEC" w:rsidP="007F26F5">
            <w:pPr>
              <w:spacing w:after="0" w:line="360" w:lineRule="auto"/>
              <w:jc w:val="center"/>
              <w:rPr>
                <w:rFonts w:ascii="Times New Roman" w:eastAsia="Times New Roman" w:hAnsi="Times New Roman" w:cs="Times New Roman"/>
                <w:sz w:val="26"/>
                <w:szCs w:val="26"/>
              </w:rPr>
            </w:pPr>
          </w:p>
        </w:tc>
      </w:tr>
      <w:tr w:rsidR="00F03129" w:rsidRPr="00F03129" w:rsidTr="007F26F5">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b/>
                <w:bCs/>
                <w:sz w:val="26"/>
                <w:szCs w:val="26"/>
              </w:rPr>
              <w:lastRenderedPageBreak/>
              <w:t>Bổ sung đối tượng áp dụng thuế suất 0%</w:t>
            </w:r>
          </w:p>
        </w:tc>
        <w:tc>
          <w:tcPr>
            <w:tcW w:w="5181"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Theo khoản 1 Điều 9 </w:t>
            </w:r>
            <w:hyperlink r:id="rId15" w:tgtFrame="_blank" w:history="1">
              <w:r w:rsidRPr="00F03129">
                <w:rPr>
                  <w:rFonts w:ascii="Times New Roman" w:eastAsia="Times New Roman" w:hAnsi="Times New Roman" w:cs="Times New Roman"/>
                  <w:sz w:val="26"/>
                  <w:szCs w:val="26"/>
                </w:rPr>
                <w:t>Luật Thuế giá trị gia tăng 2024</w:t>
              </w:r>
            </w:hyperlink>
            <w:r w:rsidRPr="00F03129">
              <w:rPr>
                <w:rFonts w:ascii="Times New Roman" w:eastAsia="Times New Roman" w:hAnsi="Times New Roman" w:cs="Times New Roman"/>
                <w:sz w:val="26"/>
                <w:szCs w:val="26"/>
              </w:rPr>
              <w:t> mới đưa thêm các đối tượng áp dụng thuế suất 0%, gồm:</w:t>
            </w:r>
          </w:p>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Vận tải quốc tế;</w:t>
            </w:r>
          </w:p>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Công trình xây dựng, lắp đặt ở nước ngoài, trong khu phi thuế quan;</w:t>
            </w:r>
          </w:p>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Hàng hóa đã bán tại khu vực cách ly cho cá nhân (người nước ngoài hoặc người Việt Nam) đã làm thủ tục xuất cảnh; hàng hóa đã bán tại cửa hàng miễn thuế;</w:t>
            </w:r>
          </w:p>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Dịch vụ xuất khẩu gồm: Dịch vụ cho thuê phương tiện vận tải được sử dụng ngoài phạm vi lãnh thổ Việt Nam; Dịch vụ của ngành hàng không, hàng hải cung ứng trực tiếp cho vận tải quốc tế hoặc thông qua đại lý.</w:t>
            </w:r>
          </w:p>
        </w:tc>
        <w:tc>
          <w:tcPr>
            <w:tcW w:w="269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Tại khoản 1 Điều 8 </w:t>
            </w:r>
            <w:hyperlink r:id="rId16" w:tgtFrame="_blank" w:history="1">
              <w:r w:rsidRPr="00F03129">
                <w:rPr>
                  <w:rFonts w:ascii="Times New Roman" w:eastAsia="Times New Roman" w:hAnsi="Times New Roman" w:cs="Times New Roman"/>
                  <w:sz w:val="26"/>
                  <w:szCs w:val="26"/>
                </w:rPr>
                <w:t>Luật Thuế giá trị gia tăng 2008 </w:t>
              </w:r>
            </w:hyperlink>
            <w:r w:rsidRPr="00F03129">
              <w:rPr>
                <w:rFonts w:ascii="Times New Roman" w:eastAsia="Times New Roman" w:hAnsi="Times New Roman" w:cs="Times New Roman"/>
                <w:sz w:val="26"/>
                <w:szCs w:val="26"/>
              </w:rPr>
              <w:t>các đối tương chưa không nằm trong các đối tượng chịu thuế suất 0%</w:t>
            </w:r>
          </w:p>
        </w:tc>
      </w:tr>
      <w:tr w:rsidR="00F03129" w:rsidRPr="00F03129" w:rsidTr="007F26F5">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b/>
                <w:bCs/>
                <w:sz w:val="26"/>
                <w:szCs w:val="26"/>
              </w:rPr>
              <w:t>Thay đổi điều kiện khấu trừ thuế GTGT đầu vào</w:t>
            </w:r>
          </w:p>
        </w:tc>
        <w:tc>
          <w:tcPr>
            <w:tcW w:w="5181"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Từ 01/7/2025, mua vào hàng hóa, dịch vụ dưới 20 triệu đồng phải có chứng từ thanh toán không dùng tiền mặt</w:t>
            </w:r>
          </w:p>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Theo khoản 2 Điều 14 </w:t>
            </w:r>
            <w:hyperlink r:id="rId17" w:tgtFrame="_blank" w:history="1">
              <w:r w:rsidRPr="00F03129">
                <w:rPr>
                  <w:rFonts w:ascii="Times New Roman" w:eastAsia="Times New Roman" w:hAnsi="Times New Roman" w:cs="Times New Roman"/>
                  <w:sz w:val="26"/>
                  <w:szCs w:val="26"/>
                </w:rPr>
                <w:t>Luật Thuế giá trị gia tăng 2024</w:t>
              </w:r>
            </w:hyperlink>
            <w:r w:rsidRPr="00F03129">
              <w:rPr>
                <w:rFonts w:ascii="Times New Roman" w:eastAsia="Times New Roman" w:hAnsi="Times New Roman" w:cs="Times New Roman"/>
                <w:sz w:val="26"/>
                <w:szCs w:val="26"/>
              </w:rPr>
              <w:t>, các hàng hóa, dịch vụ mua vào đều phải có chứng từ thanh toán không dùng tiền mặt, trừ một số trường hợp đặc thù theo quy định của Chính phủ.</w:t>
            </w:r>
          </w:p>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lastRenderedPageBreak/>
              <w:t>Ngoài ra, theo khoản 2 Điều 14 </w:t>
            </w:r>
            <w:hyperlink r:id="rId18" w:tgtFrame="_blank" w:history="1">
              <w:r w:rsidRPr="00F03129">
                <w:rPr>
                  <w:rFonts w:ascii="Times New Roman" w:eastAsia="Times New Roman" w:hAnsi="Times New Roman" w:cs="Times New Roman"/>
                  <w:sz w:val="26"/>
                  <w:szCs w:val="26"/>
                </w:rPr>
                <w:t>Luật Thuế giá trị gia tăng 2024</w:t>
              </w:r>
            </w:hyperlink>
            <w:r w:rsidRPr="00F03129">
              <w:rPr>
                <w:rFonts w:ascii="Times New Roman" w:eastAsia="Times New Roman" w:hAnsi="Times New Roman" w:cs="Times New Roman"/>
                <w:sz w:val="26"/>
                <w:szCs w:val="26"/>
              </w:rPr>
              <w:t> các chứng từ như phiếu đóng gói, vận đơn, chứng từ bảo hiểm (nếu có) cũng được bổ sung làm căn cứ khấu trừ thuế đầu vào cho hàng hóa xuất khẩu.</w:t>
            </w:r>
          </w:p>
        </w:tc>
        <w:tc>
          <w:tcPr>
            <w:tcW w:w="269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lastRenderedPageBreak/>
              <w:t>Theo khoản 2 Điều 12 </w:t>
            </w:r>
            <w:hyperlink r:id="rId19" w:tgtFrame="_blank" w:history="1">
              <w:r w:rsidRPr="00F03129">
                <w:rPr>
                  <w:rFonts w:ascii="Times New Roman" w:eastAsia="Times New Roman" w:hAnsi="Times New Roman" w:cs="Times New Roman"/>
                  <w:sz w:val="26"/>
                  <w:szCs w:val="26"/>
                </w:rPr>
                <w:t>Luật Thuế giá trị gia tăng 2008</w:t>
              </w:r>
            </w:hyperlink>
            <w:r w:rsidRPr="00F03129">
              <w:rPr>
                <w:rFonts w:ascii="Times New Roman" w:eastAsia="Times New Roman" w:hAnsi="Times New Roman" w:cs="Times New Roman"/>
                <w:sz w:val="26"/>
                <w:szCs w:val="26"/>
              </w:rPr>
              <w:t>, hàng hoá, dịch vụ mua từng lần có giá trị dưới 20 triệu đồng thì không cần có chứng từ thanh toán không dùng tiền mặt để khấu trừ thuế GTGT.</w:t>
            </w:r>
          </w:p>
        </w:tc>
      </w:tr>
      <w:tr w:rsidR="00F03129" w:rsidRPr="00F03129" w:rsidTr="007F26F5">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b/>
                <w:bCs/>
                <w:sz w:val="26"/>
                <w:szCs w:val="26"/>
              </w:rPr>
              <w:lastRenderedPageBreak/>
              <w:t>Bổ sung trường hợp hoàn thuế</w:t>
            </w:r>
          </w:p>
        </w:tc>
        <w:tc>
          <w:tcPr>
            <w:tcW w:w="5181"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606FEC" w:rsidP="007F26F5">
            <w:pPr>
              <w:spacing w:after="0" w:line="360" w:lineRule="auto"/>
              <w:jc w:val="center"/>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Tại Điều 15 </w:t>
            </w:r>
            <w:hyperlink r:id="rId20" w:tgtFrame="_blank" w:history="1">
              <w:r w:rsidRPr="00F03129">
                <w:rPr>
                  <w:rFonts w:ascii="Times New Roman" w:eastAsia="Times New Roman" w:hAnsi="Times New Roman" w:cs="Times New Roman"/>
                  <w:sz w:val="26"/>
                  <w:szCs w:val="26"/>
                </w:rPr>
                <w:t>Luật Thuế giá trị gia tăng 2024</w:t>
              </w:r>
            </w:hyperlink>
            <w:r w:rsidRPr="00F03129">
              <w:rPr>
                <w:rFonts w:ascii="Times New Roman" w:eastAsia="Times New Roman" w:hAnsi="Times New Roman" w:cs="Times New Roman"/>
                <w:sz w:val="26"/>
                <w:szCs w:val="26"/>
              </w:rPr>
              <w:t> bổ sung trường hợp hoàn thuế giá tăng từ 01/7/2025: Doanh nghiệp chỉ sản xuất, cung ứng hàng hóa dịch vụ chịu thuế 5%, nếu sau 12 tháng (hoặc 4 quý) có số thuế GTGT đầu vào chưa khấu trừ hết từ 300 triệu đồng trở lên thì được hoàn thuế.</w:t>
            </w:r>
          </w:p>
        </w:tc>
        <w:tc>
          <w:tcPr>
            <w:tcW w:w="2693" w:type="dxa"/>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606FEC" w:rsidRPr="00F03129" w:rsidRDefault="007F26F5" w:rsidP="007F26F5">
            <w:pPr>
              <w:spacing w:after="0" w:line="360" w:lineRule="auto"/>
              <w:jc w:val="center"/>
              <w:rPr>
                <w:rFonts w:ascii="Times New Roman" w:eastAsia="Times New Roman" w:hAnsi="Times New Roman" w:cs="Times New Roman"/>
                <w:sz w:val="26"/>
                <w:szCs w:val="26"/>
              </w:rPr>
            </w:pPr>
            <w:hyperlink r:id="rId21" w:tgtFrame="_blank" w:history="1">
              <w:r w:rsidR="00606FEC" w:rsidRPr="00F03129">
                <w:rPr>
                  <w:rFonts w:ascii="Times New Roman" w:eastAsia="Times New Roman" w:hAnsi="Times New Roman" w:cs="Times New Roman"/>
                  <w:sz w:val="26"/>
                  <w:szCs w:val="26"/>
                </w:rPr>
                <w:t>Luật Thuế giá trị gia tăng 2008 </w:t>
              </w:r>
            </w:hyperlink>
            <w:r w:rsidR="00606FEC" w:rsidRPr="00F03129">
              <w:rPr>
                <w:rFonts w:ascii="Times New Roman" w:eastAsia="Times New Roman" w:hAnsi="Times New Roman" w:cs="Times New Roman"/>
                <w:sz w:val="26"/>
                <w:szCs w:val="26"/>
              </w:rPr>
              <w:t>chưa có quy định này.</w:t>
            </w:r>
          </w:p>
        </w:tc>
      </w:tr>
    </w:tbl>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Căn cứ theo Điều 8 </w:t>
      </w:r>
      <w:hyperlink r:id="rId22" w:tgtFrame="_blank" w:history="1">
        <w:r w:rsidRPr="00F03129">
          <w:rPr>
            <w:rFonts w:ascii="Times New Roman" w:eastAsia="Times New Roman" w:hAnsi="Times New Roman" w:cs="Times New Roman"/>
            <w:sz w:val="26"/>
            <w:szCs w:val="26"/>
          </w:rPr>
          <w:t>Luật Thuế giá trị gia tăng 2024</w:t>
        </w:r>
      </w:hyperlink>
      <w:r w:rsidRPr="00F03129">
        <w:rPr>
          <w:rFonts w:ascii="Times New Roman" w:eastAsia="Times New Roman" w:hAnsi="Times New Roman" w:cs="Times New Roman"/>
          <w:sz w:val="26"/>
          <w:szCs w:val="26"/>
        </w:rPr>
        <w:t>, thời điểm xác định thuế giá trị gia tăng được quy định như sau:</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b/>
          <w:bCs/>
          <w:sz w:val="26"/>
          <w:szCs w:val="26"/>
        </w:rPr>
        <w:t>(1) Thời điểm xác định thuế giá trị gia tăng được quy định như sau:</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Đối với hàng hóa là thời điểm chuyển giao quyền sở hữu hoặc quyền sử dụng hàng hóa cho người mua hoặc thời điểm lập hóa đơn, không phân biệt đã thu được tiền hay chưa thu được tiền;</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Đối với dịch vụ là thời điểm hoàn thành việc cung cấp dịch vụ hoặc thời điểm lập hóa đơn cung cấp dịch vụ, không phân biệt đã thu được tiền hay chưa thu được tiền.</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w:t>
      </w:r>
      <w:r w:rsidRPr="00F03129">
        <w:rPr>
          <w:rFonts w:ascii="Times New Roman" w:eastAsia="Times New Roman" w:hAnsi="Times New Roman" w:cs="Times New Roman"/>
          <w:b/>
          <w:bCs/>
          <w:sz w:val="26"/>
          <w:szCs w:val="26"/>
        </w:rPr>
        <w:t>2) Thời điểm xác định thuế giá trị gia tăng đối với hàng hóa, dịch vụ sau đây do Chính phủ quy định:</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Hàng hóa xuất khẩu, hàng hóa nhập khẩu;</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Dịch vụ viễn thông;</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Dịch vụ kinh doanh bảo hiểm;</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Hoạt động cung cấp điện, hoạt động sản xuất điện, nước sạch;</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Hoạt động kinh doanh bất động sản;</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Hoạt động xây dựng, lắp đặt và hoạt động dầu khí.</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lastRenderedPageBreak/>
        <w:t>Căn cứ theo Điều 13</w:t>
      </w:r>
      <w:hyperlink r:id="rId23" w:tgtFrame="_blank" w:history="1">
        <w:r w:rsidRPr="00F03129">
          <w:rPr>
            <w:rFonts w:ascii="Times New Roman" w:eastAsia="Times New Roman" w:hAnsi="Times New Roman" w:cs="Times New Roman"/>
            <w:sz w:val="26"/>
            <w:szCs w:val="26"/>
          </w:rPr>
          <w:t> Luật Thuế giá trị gia tăng 2024 </w:t>
        </w:r>
      </w:hyperlink>
      <w:r w:rsidRPr="00F03129">
        <w:rPr>
          <w:rFonts w:ascii="Times New Roman" w:eastAsia="Times New Roman" w:hAnsi="Times New Roman" w:cs="Times New Roman"/>
          <w:sz w:val="26"/>
          <w:szCs w:val="26"/>
        </w:rPr>
        <w:t>các hành vi sau đây sẽ nghiêm cấm trong khấu trừ, hoàn thuế giá trị gia tăng:</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Mua, cho, bán, tổ chức quảng cáo, môi giới mua, bán hóa đơn.</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Tạo lập giao dịch mua, bán hàng hóa, cung cấp dịch vụ không có thật hoặc giao dịch không đúng quy định của pháp luật.</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Sử dụng hóa đơn, chứng từ không hợp pháp, sử dụng không hợp pháp hóa đơn, chứng từ theo quy định của Chính phủ.</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Không chuyển dữ liệu hóa đơn điện tử về cơ quan thuế theo quy định.</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Làm sai lệch, sử dụng sai mục đích, truy cập trái phép, phá hủy hệ thống thông tin về hóa đơn, chứng từ.</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Đưa, nhận, môi giới hối lộ hoặc thực hiện các hành vi khác liên quan đến hóa đơn, chứng từ để được khấu trừ thuế, hoàn thuế, chiếm đoạt tiền thuế, trốn thuế giá trị gia tăng.</w:t>
      </w:r>
    </w:p>
    <w:p w:rsidR="00606FEC" w:rsidRPr="00F03129" w:rsidRDefault="00606FEC" w:rsidP="007F26F5">
      <w:pPr>
        <w:spacing w:after="0" w:line="360" w:lineRule="auto"/>
        <w:rPr>
          <w:rFonts w:ascii="Times New Roman" w:eastAsia="Times New Roman" w:hAnsi="Times New Roman" w:cs="Times New Roman"/>
          <w:sz w:val="26"/>
          <w:szCs w:val="26"/>
        </w:rPr>
      </w:pPr>
      <w:r w:rsidRPr="00F03129">
        <w:rPr>
          <w:rFonts w:ascii="Times New Roman" w:eastAsia="Times New Roman" w:hAnsi="Times New Roman" w:cs="Times New Roman"/>
          <w:sz w:val="26"/>
          <w:szCs w:val="26"/>
        </w:rPr>
        <w:t>- Thông đồng, bao che; 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rsidR="00B645E3" w:rsidRDefault="007F26F5" w:rsidP="007F26F5">
      <w:pPr>
        <w:spacing w:after="0" w:line="360" w:lineRule="auto"/>
        <w:rPr>
          <w:rFonts w:ascii="Times New Roman" w:hAnsi="Times New Roman" w:cs="Times New Roman"/>
          <w:b/>
          <w:sz w:val="26"/>
          <w:szCs w:val="26"/>
        </w:rPr>
      </w:pPr>
      <w:r w:rsidRPr="007F26F5">
        <w:rPr>
          <w:rFonts w:ascii="Times New Roman" w:hAnsi="Times New Roman" w:cs="Times New Roman"/>
          <w:b/>
          <w:sz w:val="26"/>
          <w:szCs w:val="26"/>
        </w:rPr>
        <w:t xml:space="preserve">Tài liệu tham khảo </w:t>
      </w:r>
    </w:p>
    <w:p w:rsidR="007F26F5" w:rsidRPr="007F26F5" w:rsidRDefault="007F26F5" w:rsidP="007F26F5">
      <w:pPr>
        <w:spacing w:after="0" w:line="360" w:lineRule="auto"/>
        <w:rPr>
          <w:rFonts w:ascii="Times New Roman" w:hAnsi="Times New Roman" w:cs="Times New Roman"/>
          <w:sz w:val="26"/>
          <w:szCs w:val="26"/>
        </w:rPr>
      </w:pPr>
      <w:r w:rsidRPr="007F26F5">
        <w:rPr>
          <w:rFonts w:ascii="Times New Roman" w:hAnsi="Times New Roman" w:cs="Times New Roman"/>
          <w:sz w:val="26"/>
          <w:szCs w:val="26"/>
        </w:rPr>
        <w:t>Luật thuế GTGT 48/2025/QH15</w:t>
      </w:r>
    </w:p>
    <w:p w:rsidR="007F26F5" w:rsidRPr="007F26F5" w:rsidRDefault="007F26F5" w:rsidP="007F26F5">
      <w:pPr>
        <w:spacing w:after="0" w:line="360" w:lineRule="auto"/>
        <w:rPr>
          <w:rFonts w:ascii="Times New Roman" w:hAnsi="Times New Roman" w:cs="Times New Roman"/>
          <w:sz w:val="26"/>
          <w:szCs w:val="26"/>
        </w:rPr>
      </w:pPr>
      <w:r w:rsidRPr="007F26F5">
        <w:rPr>
          <w:rFonts w:ascii="Times New Roman" w:hAnsi="Times New Roman" w:cs="Times New Roman"/>
          <w:sz w:val="26"/>
          <w:szCs w:val="26"/>
        </w:rPr>
        <w:t xml:space="preserve">Luật thuế GTGT </w:t>
      </w:r>
      <w:r w:rsidRPr="007F26F5">
        <w:rPr>
          <w:rFonts w:ascii="Times New Roman" w:hAnsi="Times New Roman" w:cs="Times New Roman"/>
          <w:sz w:val="26"/>
          <w:szCs w:val="26"/>
        </w:rPr>
        <w:t>13</w:t>
      </w:r>
      <w:r w:rsidRPr="007F26F5">
        <w:rPr>
          <w:rFonts w:ascii="Times New Roman" w:hAnsi="Times New Roman" w:cs="Times New Roman"/>
          <w:sz w:val="26"/>
          <w:szCs w:val="26"/>
        </w:rPr>
        <w:t>/20</w:t>
      </w:r>
      <w:r w:rsidRPr="007F26F5">
        <w:rPr>
          <w:rFonts w:ascii="Times New Roman" w:hAnsi="Times New Roman" w:cs="Times New Roman"/>
          <w:sz w:val="26"/>
          <w:szCs w:val="26"/>
        </w:rPr>
        <w:t>08</w:t>
      </w:r>
      <w:r w:rsidRPr="007F26F5">
        <w:rPr>
          <w:rFonts w:ascii="Times New Roman" w:hAnsi="Times New Roman" w:cs="Times New Roman"/>
          <w:sz w:val="26"/>
          <w:szCs w:val="26"/>
        </w:rPr>
        <w:t>/QH1</w:t>
      </w:r>
      <w:r w:rsidRPr="007F26F5">
        <w:rPr>
          <w:rFonts w:ascii="Times New Roman" w:hAnsi="Times New Roman" w:cs="Times New Roman"/>
          <w:sz w:val="26"/>
          <w:szCs w:val="26"/>
        </w:rPr>
        <w:t>2</w:t>
      </w:r>
      <w:bookmarkStart w:id="0" w:name="_GoBack"/>
      <w:bookmarkEnd w:id="0"/>
    </w:p>
    <w:p w:rsidR="007F26F5" w:rsidRPr="007F26F5" w:rsidRDefault="007F26F5" w:rsidP="007F26F5">
      <w:pPr>
        <w:spacing w:after="0" w:line="360" w:lineRule="auto"/>
        <w:rPr>
          <w:rFonts w:ascii="Times New Roman" w:hAnsi="Times New Roman" w:cs="Times New Roman"/>
          <w:b/>
          <w:sz w:val="26"/>
          <w:szCs w:val="26"/>
        </w:rPr>
      </w:pPr>
    </w:p>
    <w:p w:rsidR="007F26F5" w:rsidRPr="00F03129" w:rsidRDefault="007F26F5" w:rsidP="007F26F5">
      <w:pPr>
        <w:spacing w:after="0" w:line="360" w:lineRule="auto"/>
        <w:rPr>
          <w:rFonts w:ascii="Times New Roman" w:hAnsi="Times New Roman" w:cs="Times New Roman"/>
          <w:sz w:val="26"/>
          <w:szCs w:val="26"/>
        </w:rPr>
      </w:pPr>
    </w:p>
    <w:sectPr w:rsidR="007F26F5" w:rsidRPr="00F03129" w:rsidSect="009C45C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42E7"/>
    <w:multiLevelType w:val="multilevel"/>
    <w:tmpl w:val="90BA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73A94"/>
    <w:multiLevelType w:val="multilevel"/>
    <w:tmpl w:val="F1E8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305C38"/>
    <w:multiLevelType w:val="multilevel"/>
    <w:tmpl w:val="3E90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EC"/>
    <w:rsid w:val="002A1622"/>
    <w:rsid w:val="00606FEC"/>
    <w:rsid w:val="007F26F5"/>
    <w:rsid w:val="00842704"/>
    <w:rsid w:val="009C45C7"/>
    <w:rsid w:val="00AF486F"/>
    <w:rsid w:val="00B645E3"/>
    <w:rsid w:val="00E148EB"/>
    <w:rsid w:val="00F0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D917"/>
  <w15:chartTrackingRefBased/>
  <w15:docId w15:val="{D5F8EC3D-340C-4F63-B2A8-0824B7C2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6F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6F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F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6FEC"/>
    <w:rPr>
      <w:rFonts w:ascii="Times New Roman" w:eastAsia="Times New Roman" w:hAnsi="Times New Roman" w:cs="Times New Roman"/>
      <w:b/>
      <w:bCs/>
      <w:sz w:val="36"/>
      <w:szCs w:val="36"/>
    </w:rPr>
  </w:style>
  <w:style w:type="character" w:styleId="Strong">
    <w:name w:val="Strong"/>
    <w:basedOn w:val="DefaultParagraphFont"/>
    <w:uiPriority w:val="22"/>
    <w:qFormat/>
    <w:rsid w:val="00606FEC"/>
    <w:rPr>
      <w:b/>
      <w:bCs/>
    </w:rPr>
  </w:style>
  <w:style w:type="character" w:styleId="Hyperlink">
    <w:name w:val="Hyperlink"/>
    <w:basedOn w:val="DefaultParagraphFont"/>
    <w:uiPriority w:val="99"/>
    <w:semiHidden/>
    <w:unhideWhenUsed/>
    <w:rsid w:val="00606FEC"/>
    <w:rPr>
      <w:color w:val="0000FF"/>
      <w:u w:val="single"/>
    </w:rPr>
  </w:style>
  <w:style w:type="character" w:customStyle="1" w:styleId="toctext">
    <w:name w:val="toctext"/>
    <w:basedOn w:val="DefaultParagraphFont"/>
    <w:rsid w:val="00606FEC"/>
  </w:style>
  <w:style w:type="paragraph" w:styleId="NormalWeb">
    <w:name w:val="Normal (Web)"/>
    <w:basedOn w:val="Normal"/>
    <w:uiPriority w:val="99"/>
    <w:semiHidden/>
    <w:unhideWhenUsed/>
    <w:rsid w:val="00606F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6F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545">
      <w:bodyDiv w:val="1"/>
      <w:marLeft w:val="0"/>
      <w:marRight w:val="0"/>
      <w:marTop w:val="0"/>
      <w:marBottom w:val="0"/>
      <w:divBdr>
        <w:top w:val="none" w:sz="0" w:space="0" w:color="auto"/>
        <w:left w:val="none" w:sz="0" w:space="0" w:color="auto"/>
        <w:bottom w:val="none" w:sz="0" w:space="0" w:color="auto"/>
        <w:right w:val="none" w:sz="0" w:space="0" w:color="auto"/>
      </w:divBdr>
      <w:divsChild>
        <w:div w:id="1432624258">
          <w:marLeft w:val="0"/>
          <w:marRight w:val="0"/>
          <w:marTop w:val="0"/>
          <w:marBottom w:val="225"/>
          <w:divBdr>
            <w:top w:val="none" w:sz="0" w:space="0" w:color="auto"/>
            <w:left w:val="none" w:sz="0" w:space="0" w:color="auto"/>
            <w:bottom w:val="none" w:sz="0" w:space="0" w:color="auto"/>
            <w:right w:val="none" w:sz="0" w:space="0" w:color="auto"/>
          </w:divBdr>
          <w:divsChild>
            <w:div w:id="989208997">
              <w:marLeft w:val="0"/>
              <w:marRight w:val="0"/>
              <w:marTop w:val="0"/>
              <w:marBottom w:val="0"/>
              <w:divBdr>
                <w:top w:val="none" w:sz="0" w:space="0" w:color="auto"/>
                <w:left w:val="none" w:sz="0" w:space="0" w:color="auto"/>
                <w:bottom w:val="none" w:sz="0" w:space="0" w:color="auto"/>
                <w:right w:val="none" w:sz="0" w:space="0" w:color="auto"/>
              </w:divBdr>
              <w:divsChild>
                <w:div w:id="81755035">
                  <w:marLeft w:val="0"/>
                  <w:marRight w:val="0"/>
                  <w:marTop w:val="0"/>
                  <w:marBottom w:val="0"/>
                  <w:divBdr>
                    <w:top w:val="none" w:sz="0" w:space="0" w:color="auto"/>
                    <w:left w:val="none" w:sz="0" w:space="0" w:color="auto"/>
                    <w:bottom w:val="none" w:sz="0" w:space="0" w:color="auto"/>
                    <w:right w:val="none" w:sz="0" w:space="0" w:color="auto"/>
                  </w:divBdr>
                  <w:divsChild>
                    <w:div w:id="60253708">
                      <w:marLeft w:val="0"/>
                      <w:marRight w:val="0"/>
                      <w:marTop w:val="0"/>
                      <w:marBottom w:val="0"/>
                      <w:divBdr>
                        <w:top w:val="none" w:sz="0" w:space="0" w:color="auto"/>
                        <w:left w:val="none" w:sz="0" w:space="0" w:color="auto"/>
                        <w:bottom w:val="none" w:sz="0" w:space="0" w:color="auto"/>
                        <w:right w:val="none" w:sz="0" w:space="0" w:color="auto"/>
                      </w:divBdr>
                    </w:div>
                  </w:divsChild>
                </w:div>
                <w:div w:id="522550923">
                  <w:marLeft w:val="0"/>
                  <w:marRight w:val="0"/>
                  <w:marTop w:val="0"/>
                  <w:marBottom w:val="0"/>
                  <w:divBdr>
                    <w:top w:val="none" w:sz="0" w:space="0" w:color="auto"/>
                    <w:left w:val="none" w:sz="0" w:space="0" w:color="auto"/>
                    <w:bottom w:val="none" w:sz="0" w:space="0" w:color="auto"/>
                    <w:right w:val="none" w:sz="0" w:space="0" w:color="auto"/>
                  </w:divBdr>
                  <w:divsChild>
                    <w:div w:id="18257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503571">
      <w:bodyDiv w:val="1"/>
      <w:marLeft w:val="0"/>
      <w:marRight w:val="0"/>
      <w:marTop w:val="0"/>
      <w:marBottom w:val="0"/>
      <w:divBdr>
        <w:top w:val="none" w:sz="0" w:space="0" w:color="auto"/>
        <w:left w:val="none" w:sz="0" w:space="0" w:color="auto"/>
        <w:bottom w:val="none" w:sz="0" w:space="0" w:color="auto"/>
        <w:right w:val="none" w:sz="0" w:space="0" w:color="auto"/>
      </w:divBdr>
      <w:divsChild>
        <w:div w:id="251817254">
          <w:marLeft w:val="0"/>
          <w:marRight w:val="0"/>
          <w:marTop w:val="0"/>
          <w:marBottom w:val="0"/>
          <w:divBdr>
            <w:top w:val="none" w:sz="0" w:space="0" w:color="auto"/>
            <w:left w:val="none" w:sz="0" w:space="0" w:color="auto"/>
            <w:bottom w:val="none" w:sz="0" w:space="0" w:color="auto"/>
            <w:right w:val="none" w:sz="0" w:space="0" w:color="auto"/>
          </w:divBdr>
          <w:divsChild>
            <w:div w:id="508518801">
              <w:marLeft w:val="0"/>
              <w:marRight w:val="0"/>
              <w:marTop w:val="0"/>
              <w:marBottom w:val="0"/>
              <w:divBdr>
                <w:top w:val="none" w:sz="0" w:space="0" w:color="auto"/>
                <w:left w:val="none" w:sz="0" w:space="0" w:color="auto"/>
                <w:bottom w:val="none" w:sz="0" w:space="0" w:color="auto"/>
                <w:right w:val="none" w:sz="0" w:space="0" w:color="auto"/>
              </w:divBdr>
            </w:div>
          </w:divsChild>
        </w:div>
        <w:div w:id="401563008">
          <w:marLeft w:val="0"/>
          <w:marRight w:val="0"/>
          <w:marTop w:val="0"/>
          <w:marBottom w:val="0"/>
          <w:divBdr>
            <w:top w:val="none" w:sz="0" w:space="0" w:color="auto"/>
            <w:left w:val="none" w:sz="0" w:space="0" w:color="auto"/>
            <w:bottom w:val="none" w:sz="0" w:space="0" w:color="auto"/>
            <w:right w:val="none" w:sz="0" w:space="0" w:color="auto"/>
          </w:divBdr>
          <w:divsChild>
            <w:div w:id="207574603">
              <w:marLeft w:val="0"/>
              <w:marRight w:val="0"/>
              <w:marTop w:val="0"/>
              <w:marBottom w:val="0"/>
              <w:divBdr>
                <w:top w:val="none" w:sz="0" w:space="0" w:color="auto"/>
                <w:left w:val="none" w:sz="0" w:space="0" w:color="auto"/>
                <w:bottom w:val="none" w:sz="0" w:space="0" w:color="auto"/>
                <w:right w:val="none" w:sz="0" w:space="0" w:color="auto"/>
              </w:divBdr>
              <w:divsChild>
                <w:div w:id="282079432">
                  <w:blockQuote w:val="1"/>
                  <w:marLeft w:val="450"/>
                  <w:marRight w:val="0"/>
                  <w:marTop w:val="0"/>
                  <w:marBottom w:val="300"/>
                  <w:divBdr>
                    <w:top w:val="single" w:sz="2" w:space="8" w:color="FF6600"/>
                    <w:left w:val="single" w:sz="36" w:space="8" w:color="FF6600"/>
                    <w:bottom w:val="single" w:sz="2" w:space="8" w:color="FF6600"/>
                    <w:right w:val="single" w:sz="2" w:space="6" w:color="FF6600"/>
                  </w:divBdr>
                </w:div>
              </w:divsChild>
            </w:div>
          </w:divsChild>
        </w:div>
        <w:div w:id="579678545">
          <w:marLeft w:val="0"/>
          <w:marRight w:val="0"/>
          <w:marTop w:val="150"/>
          <w:marBottom w:val="150"/>
          <w:divBdr>
            <w:top w:val="none" w:sz="0" w:space="0" w:color="auto"/>
            <w:left w:val="none" w:sz="0" w:space="0" w:color="auto"/>
            <w:bottom w:val="none" w:sz="0" w:space="0" w:color="auto"/>
            <w:right w:val="none" w:sz="0" w:space="0" w:color="auto"/>
          </w:divBdr>
          <w:divsChild>
            <w:div w:id="747652542">
              <w:marLeft w:val="0"/>
              <w:marRight w:val="0"/>
              <w:marTop w:val="0"/>
              <w:marBottom w:val="180"/>
              <w:divBdr>
                <w:top w:val="none" w:sz="0" w:space="0" w:color="auto"/>
                <w:left w:val="none" w:sz="0" w:space="0" w:color="auto"/>
                <w:bottom w:val="none" w:sz="0" w:space="0" w:color="auto"/>
                <w:right w:val="none" w:sz="0" w:space="0" w:color="auto"/>
              </w:divBdr>
              <w:divsChild>
                <w:div w:id="11529120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768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Luat-thue-gia-tri-gia-tang-2008-13-2008-QH12-66934.aspx" TargetMode="External"/><Relationship Id="rId13" Type="http://schemas.openxmlformats.org/officeDocument/2006/relationships/hyperlink" Target="https://thuvienphapluat.vn/van-ban/Thue-Phi-Le-Phi/Luat-Thue-gia-tri-gia-tang-2024-so-48-2024-QH15-556390.aspx?anchor=dieu_9" TargetMode="External"/><Relationship Id="rId18" Type="http://schemas.openxmlformats.org/officeDocument/2006/relationships/hyperlink" Target="https://thuvienphapluat.vn/van-ban/Thue-Phi-Le-Phi/Luat-Thue-gia-tri-gia-tang-2024-so-48-2024-QH15-556390.aspx?anchor=dieu_14" TargetMode="External"/><Relationship Id="rId3" Type="http://schemas.openxmlformats.org/officeDocument/2006/relationships/settings" Target="settings.xml"/><Relationship Id="rId21" Type="http://schemas.openxmlformats.org/officeDocument/2006/relationships/hyperlink" Target="https://thuvienphapluat.vn/van-ban/Thue-Phi-Le-Phi/Luat-thue-gia-tri-gia-tang-2008-13-2008-QH12-66934.aspx" TargetMode="External"/><Relationship Id="rId7" Type="http://schemas.openxmlformats.org/officeDocument/2006/relationships/hyperlink" Target="https://thuvienphapluat.vn/van-ban/Thue-Phi-Le-Phi/Luat-Thue-gia-tri-gia-tang-2024-so-48-2024-QH15-556390.aspx" TargetMode="External"/><Relationship Id="rId12" Type="http://schemas.openxmlformats.org/officeDocument/2006/relationships/hyperlink" Target="https://thuvienphapluat.vn/van-ban/Thue-Phi-Le-Phi/Luat-thue-gia-tri-gia-tang-2008-13-2008-QH12-66934.aspx" TargetMode="External"/><Relationship Id="rId17" Type="http://schemas.openxmlformats.org/officeDocument/2006/relationships/hyperlink" Target="https://thuvienphapluat.vn/van-ban/Thue-Phi-Le-Phi/Luat-Thue-gia-tri-gia-tang-2024-so-48-2024-QH15-556390.aspx?anchor=dieu_1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uvienphapluat.vn/van-ban/Thue-Phi-Le-Phi/Luat-thue-gia-tri-gia-tang-2008-13-2008-QH12-66934.aspx?anchor=dieu_8" TargetMode="External"/><Relationship Id="rId20" Type="http://schemas.openxmlformats.org/officeDocument/2006/relationships/hyperlink" Target="https://thuvienphapluat.vn/van-ban/Thue-Phi-Le-Phi/Luat-Thue-gia-tri-gia-tang-2024-so-48-2024-QH15-556390.aspx?anchor=dieu_15" TargetMode="External"/><Relationship Id="rId1" Type="http://schemas.openxmlformats.org/officeDocument/2006/relationships/numbering" Target="numbering.xml"/><Relationship Id="rId6" Type="http://schemas.openxmlformats.org/officeDocument/2006/relationships/hyperlink" Target="https://thuvienphapluat.vn/van-ban/Thue-Phi-Le-Phi/Luat-thue-gia-tri-gia-tang-2008-13-2008-QH12-66934.aspx" TargetMode="External"/><Relationship Id="rId11" Type="http://schemas.openxmlformats.org/officeDocument/2006/relationships/hyperlink" Target="https://thuvienphapluat.vn/van-ban/Thue-Phi-Le-Phi/Luat-Thue-gia-tri-gia-tang-2024-so-48-2024-QH15-556390.aspx?anchor=dieu_7" TargetMode="External"/><Relationship Id="rId24" Type="http://schemas.openxmlformats.org/officeDocument/2006/relationships/fontTable" Target="fontTable.xml"/><Relationship Id="rId5" Type="http://schemas.openxmlformats.org/officeDocument/2006/relationships/hyperlink" Target="https://thuvienphapluat.vn/van-ban/Thue-Phi-Le-Phi/Luat-Thue-gia-tri-gia-tang-2024-so-48-2024-QH15-556390.aspx" TargetMode="External"/><Relationship Id="rId15" Type="http://schemas.openxmlformats.org/officeDocument/2006/relationships/hyperlink" Target="https://thuvienphapluat.vn/van-ban/Thue-Phi-Le-Phi/Luat-Thue-gia-tri-gia-tang-2024-so-48-2024-QH15-556390.aspx?anchor=dieu_9" TargetMode="External"/><Relationship Id="rId23" Type="http://schemas.openxmlformats.org/officeDocument/2006/relationships/hyperlink" Target="https://thuvienphapluat.vn/van-ban/Thue-Phi-Le-Phi/Luat-Thue-gia-tri-gia-tang-2024-so-48-2024-QH15-556390.aspx?anchor=dieu_13" TargetMode="External"/><Relationship Id="rId10" Type="http://schemas.openxmlformats.org/officeDocument/2006/relationships/hyperlink" Target="https://thuvienphapluat.vn/van-ban/Thue-Phi-Le-Phi/Luat-thue-gia-tri-gia-tang-2008-13-2008-QH12-66934.aspx?anchor=dieu_7" TargetMode="External"/><Relationship Id="rId19" Type="http://schemas.openxmlformats.org/officeDocument/2006/relationships/hyperlink" Target="https://thuvienphapluat.vn/van-ban/Thue-Phi-Le-Phi/Luat-thue-gia-tri-gia-tang-2008-13-2008-QH12-66934.aspx?anchor=dieu_12" TargetMode="External"/><Relationship Id="rId4" Type="http://schemas.openxmlformats.org/officeDocument/2006/relationships/webSettings" Target="webSettings.xml"/><Relationship Id="rId9" Type="http://schemas.openxmlformats.org/officeDocument/2006/relationships/hyperlink" Target="https://thuvienphapluat.vn/van-ban/Thue-Phi-Le-Phi/Luat-Thue-gia-tri-gia-tang-2024-so-48-2024-QH15-556390.aspx?anchor=dieu_7" TargetMode="External"/><Relationship Id="rId14" Type="http://schemas.openxmlformats.org/officeDocument/2006/relationships/hyperlink" Target="https://thuvienphapluat.vn/van-ban/Thue-Phi-Le-Phi/Luat-Thue-gia-tri-gia-tang-2024-so-48-2024-QH15-556390.aspx" TargetMode="External"/><Relationship Id="rId22" Type="http://schemas.openxmlformats.org/officeDocument/2006/relationships/hyperlink" Target="https://thuvienphapluat.vn/van-ban/Thue-Phi-Le-Phi/Luat-Thue-gia-tri-gia-tang-2024-so-48-2024-QH15-556390.aspx?anchor=dieu_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2025-06-12T02:58:00Z</dcterms:created>
  <dcterms:modified xsi:type="dcterms:W3CDTF">2025-06-14T01:08:00Z</dcterms:modified>
</cp:coreProperties>
</file>