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0030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30"/>
          <w:szCs w:val="30"/>
        </w:rPr>
      </w:pPr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Những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điểm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mới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trong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kê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khai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Thuế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Thu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nhập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Doanh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nghiệp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tại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Việt Nam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và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những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bất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cập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30"/>
          <w:szCs w:val="30"/>
        </w:rPr>
        <w:t>đặt</w:t>
      </w:r>
      <w:proofErr w:type="spellEnd"/>
      <w:r w:rsidRPr="00B069F1">
        <w:rPr>
          <w:rFonts w:ascii="Times New Roman" w:hAnsi="Times New Roman" w:cs="Times New Roman"/>
          <w:b/>
          <w:bCs/>
          <w:sz w:val="30"/>
          <w:szCs w:val="30"/>
        </w:rPr>
        <w:t xml:space="preserve"> ra</w:t>
      </w:r>
    </w:p>
    <w:p w14:paraId="7C1D0295" w14:textId="7B537D3D" w:rsidR="007D7A1D" w:rsidRPr="00443697" w:rsidRDefault="00B069F1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proofErr w:type="spellStart"/>
      <w:r w:rsidRPr="00443697">
        <w:rPr>
          <w:rFonts w:ascii="Times New Roman" w:hAnsi="Times New Roman" w:cs="Times New Roman"/>
          <w:b/>
          <w:bCs/>
          <w:sz w:val="26"/>
          <w:szCs w:val="26"/>
        </w:rPr>
        <w:t>Ths.Ng</w:t>
      </w:r>
      <w:proofErr w:type="spellEnd"/>
      <w:r w:rsidRPr="00443697">
        <w:rPr>
          <w:rFonts w:ascii="Times New Roman" w:hAnsi="Times New Roman" w:cs="Times New Roman"/>
          <w:b/>
          <w:bCs/>
          <w:sz w:val="26"/>
          <w:szCs w:val="26"/>
          <w:lang w:val="vi-VN"/>
        </w:rPr>
        <w:t>ô Thị Kiều Trang</w:t>
      </w:r>
      <w:r w:rsidRPr="004436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FF90377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>1. M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ở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</w:p>
    <w:p w14:paraId="0F06D775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Doanh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(TNDN)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vĩ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TNDN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14845449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Doanh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67/2025/QH15,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1/10/2025,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TNDN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2008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Bài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TNDN,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Việt Nam.</w:t>
      </w:r>
    </w:p>
    <w:p w14:paraId="705242E2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2. Những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kê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khai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TNDN</w:t>
      </w:r>
    </w:p>
    <w:p w14:paraId="1EDCBF35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2.1.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Mở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rộng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phạm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vi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chỉnh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nước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ngoài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</w:p>
    <w:p w14:paraId="15A00556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tảng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Việt Nam.</w:t>
      </w:r>
    </w:p>
    <w:p w14:paraId="36F966BF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Google, Facebook, TikTok…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“ở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ở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”.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xu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xói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mòn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(BEPS)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OECD.</w:t>
      </w:r>
    </w:p>
    <w:p w14:paraId="18E77133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2.2.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Bổ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sung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khoản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miễn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khuyến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khích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xanh</w:t>
      </w:r>
      <w:proofErr w:type="spellEnd"/>
    </w:p>
    <w:p w14:paraId="01EE73C5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2025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nhượng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r w:rsidRPr="00B069F1">
        <w:rPr>
          <w:rFonts w:ascii="Times New Roman" w:hAnsi="Times New Roman" w:cs="Times New Roman"/>
          <w:sz w:val="26"/>
          <w:szCs w:val="26"/>
        </w:rPr>
        <w:lastRenderedPageBreak/>
        <w:t xml:space="preserve">carbon, chứng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hay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33DBEF8F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Quy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carbon,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ròng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“0” (net-zero)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2050.</w:t>
      </w:r>
    </w:p>
    <w:p w14:paraId="17821420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2.3. Quy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bù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trừ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lỗ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nhượng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bất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</w:p>
    <w:p w14:paraId="744ACB91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lỗ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nhượng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lỗ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74705F80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Tuy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nhượng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dò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160CAC03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2.4.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chỉnh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miễn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giảm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khoa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nghệ</w:t>
      </w:r>
      <w:proofErr w:type="spellEnd"/>
    </w:p>
    <w:p w14:paraId="7F2FA1F6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61656761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2.5.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Mở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rộng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phạm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vi chi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phí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trừ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xác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chịu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</w:p>
    <w:p w14:paraId="0A3BEEC0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2025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loạt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: chi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; chi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; chi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; chi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phục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3842EE8D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Quy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7AC676E7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2.6.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suất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nhỏ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vừa</w:t>
      </w:r>
      <w:proofErr w:type="spellEnd"/>
    </w:p>
    <w:p w14:paraId="2ACC7A66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20%, song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:</w:t>
      </w:r>
    </w:p>
    <w:p w14:paraId="018065EA" w14:textId="77777777" w:rsidR="007D7A1D" w:rsidRPr="00B069F1" w:rsidRDefault="007D7A1D" w:rsidP="00AF5E6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15%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≤ 3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35D260BB" w14:textId="77777777" w:rsidR="007D7A1D" w:rsidRPr="00B069F1" w:rsidRDefault="007D7A1D" w:rsidP="00AF5E6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lastRenderedPageBreak/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17%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3–50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62D5AB8B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Quy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bớt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97%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Việt Nam,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3A22CEFC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2.7.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Mở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rộng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tượng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hưởng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</w:p>
    <w:p w14:paraId="646B6B11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ươm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07F75CFF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35EA5333" w14:textId="77777777" w:rsidR="00AF5E69" w:rsidRPr="00B069F1" w:rsidRDefault="00AF5E69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EEE0E08" w14:textId="198F9F98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3. Những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bất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cập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còn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tồn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tại</w:t>
      </w:r>
      <w:proofErr w:type="spellEnd"/>
    </w:p>
    <w:p w14:paraId="5D9CF590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TNDN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phục:</w:t>
      </w:r>
    </w:p>
    <w:p w14:paraId="6985790A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còn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tán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thiếu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</w:p>
    <w:p w14:paraId="40816BC5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thậm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40103710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3.2.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quá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dài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so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chuẩn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quốc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</w:p>
    <w:p w14:paraId="491D3A20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5–10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ở Việt Nam,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nhóm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014BCB40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3.3.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Rủi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ro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lạm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lỗ</w:t>
      </w:r>
      <w:proofErr w:type="spellEnd"/>
    </w:p>
    <w:p w14:paraId="53C0FFC2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Quy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lỗ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phồng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” chi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lỗ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2E20A772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3.4.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Thủ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tục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còn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phức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tạp</w:t>
      </w:r>
      <w:proofErr w:type="spellEnd"/>
    </w:p>
    <w:p w14:paraId="35C489EB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lastRenderedPageBreak/>
        <w:t>Nhiều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rườm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4FEBDD7A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3.5.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Chưa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áp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hiệp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quốc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</w:p>
    <w:p w14:paraId="269C7ABF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Việt Nam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chờ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trễ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5C1DBAAA" w14:textId="7F873614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B8EFE52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nghị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</w:p>
    <w:p w14:paraId="37BF8594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TNDN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bài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:</w:t>
      </w:r>
    </w:p>
    <w:p w14:paraId="497446EC" w14:textId="77777777" w:rsidR="007D7A1D" w:rsidRPr="00B069F1" w:rsidRDefault="007D7A1D" w:rsidP="00AF5E6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Rà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soát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thống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quy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0CD1A281" w14:textId="77777777" w:rsidR="007D7A1D" w:rsidRPr="00B069F1" w:rsidRDefault="007D7A1D" w:rsidP="00AF5E6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Rút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ngắn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6153EF60" w14:textId="77777777" w:rsidR="007D7A1D" w:rsidRPr="00B069F1" w:rsidRDefault="007D7A1D" w:rsidP="00AF5E6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Hoàn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thiện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rủi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ro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lỗ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6C131EC6" w14:textId="77777777" w:rsidR="007D7A1D" w:rsidRPr="00B069F1" w:rsidRDefault="007D7A1D" w:rsidP="00AF5E6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giản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thủ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tục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34907729" w14:textId="77777777" w:rsidR="007D7A1D" w:rsidRPr="00B069F1" w:rsidRDefault="007D7A1D" w:rsidP="00AF5E6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Sớm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ban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hiệp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quốc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Việt Nam.</w:t>
      </w:r>
    </w:p>
    <w:p w14:paraId="253822A8" w14:textId="7986A23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965ACC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</w:p>
    <w:p w14:paraId="24264729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Doanh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2025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Những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sung chi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6B84BDE4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lastRenderedPageBreak/>
        <w:t xml:space="preserve">Tuy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phục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lận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0E06A6EF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14A694" w14:textId="77777777" w:rsidR="007D7A1D" w:rsidRPr="00B069F1" w:rsidRDefault="007D7A1D" w:rsidP="00AF5E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Tài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liệu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tham</w:t>
      </w:r>
      <w:proofErr w:type="spellEnd"/>
      <w:r w:rsidRPr="00B0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</w:p>
    <w:p w14:paraId="3247262D" w14:textId="77777777" w:rsidR="007D7A1D" w:rsidRPr="00B069F1" w:rsidRDefault="007D7A1D" w:rsidP="00AF5E6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Quốc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(2025).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Thu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Doanh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67/2025/QH15</w:t>
      </w:r>
      <w:r w:rsidRPr="00B069F1">
        <w:rPr>
          <w:rFonts w:ascii="Times New Roman" w:hAnsi="Times New Roman" w:cs="Times New Roman"/>
          <w:sz w:val="26"/>
          <w:szCs w:val="26"/>
        </w:rPr>
        <w:t xml:space="preserve">. Hà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6E905ED7" w14:textId="77777777" w:rsidR="007D7A1D" w:rsidRPr="00B069F1" w:rsidRDefault="007D7A1D" w:rsidP="00AF5E6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Quốc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(2008).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Thu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Doanh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14/2008/QH12</w:t>
      </w:r>
      <w:r w:rsidRPr="00B06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sung (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32/2013/QH13;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71/2014/QH13;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26/2018/QH14). Hà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33935DC9" w14:textId="77777777" w:rsidR="007D7A1D" w:rsidRPr="00B069F1" w:rsidRDefault="007D7A1D" w:rsidP="00AF5E6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Tài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(2025). </w:t>
      </w:r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Báo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cáo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đánh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giá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tác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Thu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Doanh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sửa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đổi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 Hà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3781AF47" w14:textId="77777777" w:rsidR="007D7A1D" w:rsidRPr="00B069F1" w:rsidRDefault="007D7A1D" w:rsidP="00AF5E6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EY Việt Nam (2025). </w:t>
      </w:r>
      <w:r w:rsidRPr="00B069F1">
        <w:rPr>
          <w:rFonts w:ascii="Times New Roman" w:hAnsi="Times New Roman" w:cs="Times New Roman"/>
          <w:i/>
          <w:iCs/>
          <w:sz w:val="26"/>
          <w:szCs w:val="26"/>
        </w:rPr>
        <w:t>Tax Alert – Key changes in the Corporate Income Tax policy</w:t>
      </w:r>
      <w:r w:rsidRPr="00B069F1">
        <w:rPr>
          <w:rFonts w:ascii="Times New Roman" w:hAnsi="Times New Roman" w:cs="Times New Roman"/>
          <w:sz w:val="26"/>
          <w:szCs w:val="26"/>
        </w:rPr>
        <w:t xml:space="preserve">. EY Vietnam,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7/2025.</w:t>
      </w:r>
    </w:p>
    <w:p w14:paraId="052E06AC" w14:textId="77777777" w:rsidR="007D7A1D" w:rsidRPr="00B069F1" w:rsidRDefault="007D7A1D" w:rsidP="00AF5E6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Thư Viện Pháp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(2025). “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Doanh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2025.”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: https://thuvienphapluat.vn.</w:t>
      </w:r>
    </w:p>
    <w:p w14:paraId="51C299B9" w14:textId="77777777" w:rsidR="007D7A1D" w:rsidRPr="00B069F1" w:rsidRDefault="007D7A1D" w:rsidP="00AF5E6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Việt Nam (2025). “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Doanh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2025.”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: https://luatvietnam.vn.</w:t>
      </w:r>
    </w:p>
    <w:p w14:paraId="3190329D" w14:textId="77777777" w:rsidR="007D7A1D" w:rsidRPr="00B069F1" w:rsidRDefault="007D7A1D" w:rsidP="00AF5E6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>Einvoice.vn (2025). “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Doanh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2025: 8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.”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: https://einvoice.vn.</w:t>
      </w:r>
    </w:p>
    <w:p w14:paraId="03F273CD" w14:textId="77777777" w:rsidR="007D7A1D" w:rsidRPr="00B069F1" w:rsidRDefault="007D7A1D" w:rsidP="00AF5E6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Tài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Việt Nam (2025). “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Doanh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10/2025.”</w:t>
      </w:r>
    </w:p>
    <w:p w14:paraId="07512CE2" w14:textId="77777777" w:rsidR="007D7A1D" w:rsidRPr="00B069F1" w:rsidRDefault="007D7A1D" w:rsidP="00AF5E6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Lao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(2025). “Những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Doanh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1/10/2025.” Báo Lao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Online.</w:t>
      </w:r>
    </w:p>
    <w:p w14:paraId="5033906D" w14:textId="77777777" w:rsidR="007D7A1D" w:rsidRPr="00B069F1" w:rsidRDefault="007D7A1D" w:rsidP="00AF5E6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69F1">
        <w:rPr>
          <w:rFonts w:ascii="Times New Roman" w:hAnsi="Times New Roman" w:cs="Times New Roman"/>
          <w:sz w:val="26"/>
          <w:szCs w:val="26"/>
        </w:rPr>
        <w:t xml:space="preserve">OECD (2015). </w:t>
      </w:r>
      <w:r w:rsidRPr="00B069F1">
        <w:rPr>
          <w:rFonts w:ascii="Times New Roman" w:hAnsi="Times New Roman" w:cs="Times New Roman"/>
          <w:i/>
          <w:iCs/>
          <w:sz w:val="26"/>
          <w:szCs w:val="26"/>
        </w:rPr>
        <w:t>Addressing the Tax Challenges of the Digital Economy, Action 1 – 2015 Final Report</w:t>
      </w:r>
      <w:r w:rsidRPr="00B069F1">
        <w:rPr>
          <w:rFonts w:ascii="Times New Roman" w:hAnsi="Times New Roman" w:cs="Times New Roman"/>
          <w:sz w:val="26"/>
          <w:szCs w:val="26"/>
        </w:rPr>
        <w:t>. OECD/G20 Base Erosion and Profit Shifting Project.</w:t>
      </w:r>
    </w:p>
    <w:p w14:paraId="65387385" w14:textId="77777777" w:rsidR="007D7A1D" w:rsidRPr="00B069F1" w:rsidRDefault="007D7A1D" w:rsidP="00AF5E6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 xml:space="preserve"> (2024).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Niên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giám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69F1">
        <w:rPr>
          <w:rFonts w:ascii="Times New Roman" w:hAnsi="Times New Roman" w:cs="Times New Roman"/>
          <w:i/>
          <w:iCs/>
          <w:sz w:val="26"/>
          <w:szCs w:val="26"/>
        </w:rPr>
        <w:t>Thuế</w:t>
      </w:r>
      <w:proofErr w:type="spellEnd"/>
      <w:r w:rsidRPr="00B069F1">
        <w:rPr>
          <w:rFonts w:ascii="Times New Roman" w:hAnsi="Times New Roman" w:cs="Times New Roman"/>
          <w:i/>
          <w:iCs/>
          <w:sz w:val="26"/>
          <w:szCs w:val="26"/>
        </w:rPr>
        <w:t xml:space="preserve"> Việt Nam</w:t>
      </w:r>
      <w:r w:rsidRPr="00B069F1">
        <w:rPr>
          <w:rFonts w:ascii="Times New Roman" w:hAnsi="Times New Roman" w:cs="Times New Roman"/>
          <w:sz w:val="26"/>
          <w:szCs w:val="26"/>
        </w:rPr>
        <w:t xml:space="preserve">. Hà </w:t>
      </w:r>
      <w:proofErr w:type="spellStart"/>
      <w:r w:rsidRPr="00B069F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069F1">
        <w:rPr>
          <w:rFonts w:ascii="Times New Roman" w:hAnsi="Times New Roman" w:cs="Times New Roman"/>
          <w:sz w:val="26"/>
          <w:szCs w:val="26"/>
        </w:rPr>
        <w:t>.</w:t>
      </w:r>
    </w:p>
    <w:p w14:paraId="75672205" w14:textId="77777777" w:rsidR="007D7A1D" w:rsidRPr="00B069F1" w:rsidRDefault="007D7A1D" w:rsidP="00AF5E6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D7A1D" w:rsidRPr="00B06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1AC"/>
    <w:multiLevelType w:val="multilevel"/>
    <w:tmpl w:val="7B14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A30A9"/>
    <w:multiLevelType w:val="multilevel"/>
    <w:tmpl w:val="1788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8163E"/>
    <w:multiLevelType w:val="multilevel"/>
    <w:tmpl w:val="EE52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649FE"/>
    <w:multiLevelType w:val="multilevel"/>
    <w:tmpl w:val="997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04E5C"/>
    <w:multiLevelType w:val="multilevel"/>
    <w:tmpl w:val="A77C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606A2"/>
    <w:multiLevelType w:val="multilevel"/>
    <w:tmpl w:val="473A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C0C1D"/>
    <w:multiLevelType w:val="multilevel"/>
    <w:tmpl w:val="D07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46D1B"/>
    <w:multiLevelType w:val="multilevel"/>
    <w:tmpl w:val="C94E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B39D0"/>
    <w:multiLevelType w:val="multilevel"/>
    <w:tmpl w:val="54FC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81C35"/>
    <w:multiLevelType w:val="multilevel"/>
    <w:tmpl w:val="C4BC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734E26"/>
    <w:multiLevelType w:val="multilevel"/>
    <w:tmpl w:val="82E4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673EB3"/>
    <w:multiLevelType w:val="multilevel"/>
    <w:tmpl w:val="11B4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759BF"/>
    <w:multiLevelType w:val="multilevel"/>
    <w:tmpl w:val="61A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FD379C"/>
    <w:multiLevelType w:val="multilevel"/>
    <w:tmpl w:val="5280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DE4324"/>
    <w:multiLevelType w:val="multilevel"/>
    <w:tmpl w:val="DAD4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AA2AB3"/>
    <w:multiLevelType w:val="multilevel"/>
    <w:tmpl w:val="994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849968">
    <w:abstractNumId w:val="1"/>
  </w:num>
  <w:num w:numId="2" w16cid:durableId="360403781">
    <w:abstractNumId w:val="5"/>
  </w:num>
  <w:num w:numId="3" w16cid:durableId="686566789">
    <w:abstractNumId w:val="6"/>
  </w:num>
  <w:num w:numId="4" w16cid:durableId="1202672968">
    <w:abstractNumId w:val="14"/>
  </w:num>
  <w:num w:numId="5" w16cid:durableId="330573718">
    <w:abstractNumId w:val="11"/>
  </w:num>
  <w:num w:numId="6" w16cid:durableId="1164668385">
    <w:abstractNumId w:val="10"/>
  </w:num>
  <w:num w:numId="7" w16cid:durableId="677585270">
    <w:abstractNumId w:val="3"/>
  </w:num>
  <w:num w:numId="8" w16cid:durableId="1062561955">
    <w:abstractNumId w:val="8"/>
  </w:num>
  <w:num w:numId="9" w16cid:durableId="1667703570">
    <w:abstractNumId w:val="13"/>
  </w:num>
  <w:num w:numId="10" w16cid:durableId="1422947964">
    <w:abstractNumId w:val="4"/>
  </w:num>
  <w:num w:numId="11" w16cid:durableId="1249995946">
    <w:abstractNumId w:val="7"/>
  </w:num>
  <w:num w:numId="12" w16cid:durableId="652179674">
    <w:abstractNumId w:val="0"/>
  </w:num>
  <w:num w:numId="13" w16cid:durableId="634262602">
    <w:abstractNumId w:val="2"/>
  </w:num>
  <w:num w:numId="14" w16cid:durableId="1861696675">
    <w:abstractNumId w:val="12"/>
  </w:num>
  <w:num w:numId="15" w16cid:durableId="1044987285">
    <w:abstractNumId w:val="15"/>
  </w:num>
  <w:num w:numId="16" w16cid:durableId="1031222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1D"/>
    <w:rsid w:val="00135046"/>
    <w:rsid w:val="00443697"/>
    <w:rsid w:val="007D7A1D"/>
    <w:rsid w:val="00AF5E69"/>
    <w:rsid w:val="00B069F1"/>
    <w:rsid w:val="00CC0197"/>
    <w:rsid w:val="00D34BB7"/>
    <w:rsid w:val="00D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5B29"/>
  <w15:chartTrackingRefBased/>
  <w15:docId w15:val="{7E372A57-7A73-4EB2-A80C-0B3A02D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A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A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A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A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A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A1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A1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A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A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A1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A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A1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A1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7A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2</cp:revision>
  <dcterms:created xsi:type="dcterms:W3CDTF">2025-09-15T01:03:00Z</dcterms:created>
  <dcterms:modified xsi:type="dcterms:W3CDTF">2025-09-15T01:03:00Z</dcterms:modified>
</cp:coreProperties>
</file>