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6C" w:rsidRPr="001C116C" w:rsidRDefault="001C116C" w:rsidP="001C116C">
      <w:pPr>
        <w:shd w:val="clear" w:color="auto" w:fill="FFFFFF"/>
        <w:spacing w:after="100" w:afterAutospacing="1" w:line="300" w:lineRule="atLeast"/>
        <w:jc w:val="center"/>
        <w:outlineLvl w:val="0"/>
        <w:rPr>
          <w:rFonts w:ascii="Arial" w:eastAsia="Times New Roman" w:hAnsi="Arial" w:cs="Arial"/>
          <w:color w:val="212529"/>
          <w:spacing w:val="2"/>
          <w:kern w:val="36"/>
          <w:sz w:val="48"/>
          <w:szCs w:val="48"/>
        </w:rPr>
      </w:pPr>
      <w:bookmarkStart w:id="0" w:name="_GoBack"/>
      <w:r w:rsidRPr="001C116C">
        <w:rPr>
          <w:rFonts w:ascii="Arial" w:eastAsia="Times New Roman" w:hAnsi="Arial" w:cs="Arial"/>
          <w:color w:val="212529"/>
          <w:spacing w:val="2"/>
          <w:kern w:val="36"/>
          <w:sz w:val="48"/>
          <w:szCs w:val="48"/>
        </w:rPr>
        <w:t>Quy định về chứng từ và tài khoản kế toán từ ngày 01/01/2025</w:t>
      </w:r>
    </w:p>
    <w:bookmarkEnd w:id="0"/>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Ngày 17/04/2024, Bộ trưởng Bộ Tài Chính ban hành </w:t>
      </w:r>
      <w:hyperlink r:id="rId5" w:tgtFrame="_blank" w:history="1">
        <w:r>
          <w:rPr>
            <w:rStyle w:val="Hyperlink"/>
            <w:rFonts w:ascii="Arial" w:eastAsiaTheme="majorEastAsia" w:hAnsi="Arial" w:cs="Arial"/>
            <w:color w:val="00B1E1"/>
            <w:spacing w:val="2"/>
            <w:sz w:val="21"/>
            <w:szCs w:val="21"/>
          </w:rPr>
          <w:t>Thông tư 24/2024/TT-BTC</w:t>
        </w:r>
      </w:hyperlink>
      <w:r>
        <w:rPr>
          <w:rFonts w:ascii="Arial" w:hAnsi="Arial" w:cs="Arial"/>
          <w:color w:val="212529"/>
          <w:spacing w:val="2"/>
          <w:sz w:val="21"/>
          <w:szCs w:val="21"/>
        </w:rPr>
        <w:t> về việc hướng dẫn chế độ kế toán hành chính, sự nghiệp, </w:t>
      </w:r>
      <w:r>
        <w:rPr>
          <w:rFonts w:ascii="Arial" w:hAnsi="Arial" w:cs="Arial"/>
          <w:color w:val="FF0000"/>
          <w:spacing w:val="2"/>
          <w:sz w:val="21"/>
          <w:szCs w:val="21"/>
        </w:rPr>
        <w:t>có hiệu lực thi hành từ ngày 01/01/2025</w:t>
      </w:r>
      <w:r>
        <w:rPr>
          <w:rFonts w:ascii="Arial" w:hAnsi="Arial" w:cs="Arial"/>
          <w:color w:val="212529"/>
          <w:spacing w:val="2"/>
          <w:sz w:val="21"/>
          <w:szCs w:val="21"/>
        </w:rPr>
        <w:t>. Theo đó, quy định về chứng từ và tài khoản kế toán bao gồm những nội dung sau đây:</w:t>
      </w:r>
    </w:p>
    <w:p w:rsidR="001C116C" w:rsidRDefault="001C116C" w:rsidP="001C116C">
      <w:pPr>
        <w:pStyle w:val="Heading2"/>
        <w:shd w:val="clear" w:color="auto" w:fill="FFFFFF"/>
        <w:spacing w:before="0" w:line="300" w:lineRule="atLeast"/>
        <w:jc w:val="both"/>
        <w:rPr>
          <w:rFonts w:ascii="Arial" w:hAnsi="Arial" w:cs="Arial"/>
          <w:b w:val="0"/>
          <w:bCs w:val="0"/>
          <w:color w:val="212529"/>
          <w:spacing w:val="2"/>
          <w:sz w:val="36"/>
          <w:szCs w:val="36"/>
        </w:rPr>
      </w:pPr>
      <w:r>
        <w:rPr>
          <w:rStyle w:val="Strong"/>
          <w:rFonts w:ascii="Arial" w:hAnsi="Arial" w:cs="Arial"/>
          <w:b/>
          <w:bCs/>
          <w:color w:val="212529"/>
          <w:spacing w:val="2"/>
          <w:sz w:val="21"/>
          <w:szCs w:val="21"/>
        </w:rPr>
        <w:t>1. Quy định về chứng từ kế toán từ ngày 01/01/2025</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Theo Điều 4 </w:t>
      </w:r>
      <w:hyperlink r:id="rId6" w:tgtFrame="_blank" w:history="1">
        <w:r>
          <w:rPr>
            <w:rStyle w:val="Hyperlink"/>
            <w:rFonts w:ascii="Arial" w:eastAsiaTheme="majorEastAsia" w:hAnsi="Arial" w:cs="Arial"/>
            <w:color w:val="00B1E1"/>
            <w:spacing w:val="2"/>
            <w:sz w:val="21"/>
            <w:szCs w:val="21"/>
          </w:rPr>
          <w:t>Thông tư 24/2024/TT-BTC</w:t>
        </w:r>
      </w:hyperlink>
      <w:r>
        <w:rPr>
          <w:rFonts w:ascii="Arial" w:hAnsi="Arial" w:cs="Arial"/>
          <w:color w:val="212529"/>
          <w:spacing w:val="2"/>
          <w:sz w:val="21"/>
          <w:szCs w:val="21"/>
        </w:rPr>
        <w:t>, chứng từ kế toán được quy định cụ thể như sau:</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 Các đơn vị kế toán được tự thiết kế chứng từ kế toán của đơn vị để phản ánh các nghiệp vụ kinh tế, tài chính phát sinh phù hợp yêu cầu quản lý, đảm bảo đủ các thông tin phục vụ hạch toán kế toán, trừ trường hợp đã có quy định mẫu biểu chứng từ kế toán tại các văn bản pháp luật có liên quan. Chứng từ kế toán do đơn vị tự thiết kế phải phản ánh đúng bản chất của nghiệp vụ kinh tế, tài chính phát sinh, tuân thủ các nội dung quy định tại </w:t>
      </w:r>
      <w:hyperlink r:id="rId7" w:tgtFrame="_blank" w:history="1">
        <w:r>
          <w:rPr>
            <w:rStyle w:val="Hyperlink"/>
            <w:rFonts w:ascii="Arial" w:eastAsiaTheme="majorEastAsia" w:hAnsi="Arial" w:cs="Arial"/>
            <w:color w:val="00B1E1"/>
            <w:spacing w:val="2"/>
            <w:sz w:val="21"/>
            <w:szCs w:val="21"/>
          </w:rPr>
          <w:t>Luật Kế toán 2015</w:t>
        </w:r>
      </w:hyperlink>
      <w:r>
        <w:rPr>
          <w:rFonts w:ascii="Arial" w:hAnsi="Arial" w:cs="Arial"/>
          <w:color w:val="212529"/>
          <w:spacing w:val="2"/>
          <w:sz w:val="21"/>
          <w:szCs w:val="21"/>
        </w:rPr>
        <w:t>, phù hợp với thông tin cần ghi sổ kế toán và yêu cầu quản lý của đơn vị.</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(ii) Trường hợp đơn vị kế toán, đơn vị hạch toán phụ thuộc (sau đây gọi tắt là đơn vị) sử dụng các chứng từ kế toán in sẵn, thì phải thực hiện bảo quản cẩn thận, không được để hư hỏng, mục nát. Đối với loại chứng từ kế toán được cơ quan có thẩm quyền quy định phải quản lý riêng biệt, chặt chẽ như tiền, thì đơn vị phải thực hiện đúng quy trình quản lý, đảm bảo tuyệt đối an toàn.</w:t>
      </w:r>
    </w:p>
    <w:p w:rsidR="001C116C" w:rsidRDefault="001C116C" w:rsidP="001C116C">
      <w:pPr>
        <w:pStyle w:val="Heading2"/>
        <w:shd w:val="clear" w:color="auto" w:fill="FFFFFF"/>
        <w:spacing w:before="0" w:line="300" w:lineRule="atLeast"/>
        <w:jc w:val="both"/>
        <w:rPr>
          <w:rFonts w:ascii="Arial" w:hAnsi="Arial" w:cs="Arial"/>
          <w:b w:val="0"/>
          <w:bCs w:val="0"/>
          <w:color w:val="212529"/>
          <w:spacing w:val="2"/>
        </w:rPr>
      </w:pPr>
      <w:r>
        <w:rPr>
          <w:rStyle w:val="Strong"/>
          <w:rFonts w:ascii="Arial" w:hAnsi="Arial" w:cs="Arial"/>
          <w:b/>
          <w:bCs/>
          <w:color w:val="212529"/>
          <w:spacing w:val="2"/>
          <w:sz w:val="21"/>
          <w:szCs w:val="21"/>
        </w:rPr>
        <w:t>2. Quy định về tài khoản kế toán từ ngày 01/01/2025</w:t>
      </w:r>
    </w:p>
    <w:p w:rsidR="001C116C" w:rsidRDefault="001C116C" w:rsidP="001C116C">
      <w:pPr>
        <w:pStyle w:val="Heading3"/>
        <w:shd w:val="clear" w:color="auto" w:fill="FFFFFF"/>
        <w:spacing w:before="0" w:line="300" w:lineRule="atLeast"/>
        <w:jc w:val="both"/>
        <w:rPr>
          <w:rFonts w:ascii="Arial" w:hAnsi="Arial" w:cs="Arial"/>
          <w:b w:val="0"/>
          <w:bCs w:val="0"/>
          <w:color w:val="212529"/>
          <w:spacing w:val="2"/>
        </w:rPr>
      </w:pPr>
      <w:r>
        <w:rPr>
          <w:rStyle w:val="Strong"/>
          <w:rFonts w:ascii="Arial" w:hAnsi="Arial" w:cs="Arial"/>
          <w:b/>
          <w:bCs/>
          <w:color w:val="212529"/>
          <w:spacing w:val="2"/>
          <w:sz w:val="21"/>
          <w:szCs w:val="21"/>
        </w:rPr>
        <w:t>2.1. Tài khoản kế toán</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Theo khoản 1 Điều 5 </w:t>
      </w:r>
      <w:hyperlink r:id="rId8"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thì tài khoản kế toán phản ánh thường xuyên, liên tục, có hệ thống về tình hình tài sản; tiếp nhận và sử dụng nguồn kinh phí do ngân sách nhà nước cấp và các nguồn kinh phí khác theo cơ chế tài chính; doanh thu, chi phí, phân phối kết quả hoạt động và các nghiệp vụ kinh tế, tài chính phát sinh khác tại đơn vị.</w:t>
      </w:r>
    </w:p>
    <w:p w:rsidR="001C116C" w:rsidRDefault="001C116C" w:rsidP="001C116C">
      <w:pPr>
        <w:pStyle w:val="Heading3"/>
        <w:shd w:val="clear" w:color="auto" w:fill="FFFFFF"/>
        <w:spacing w:before="0" w:line="300" w:lineRule="atLeast"/>
        <w:jc w:val="both"/>
        <w:rPr>
          <w:rFonts w:ascii="Arial" w:hAnsi="Arial" w:cs="Arial"/>
          <w:b w:val="0"/>
          <w:bCs w:val="0"/>
          <w:color w:val="212529"/>
          <w:spacing w:val="2"/>
          <w:sz w:val="27"/>
          <w:szCs w:val="27"/>
        </w:rPr>
      </w:pPr>
      <w:r>
        <w:rPr>
          <w:rStyle w:val="Strong"/>
          <w:rFonts w:ascii="Arial" w:hAnsi="Arial" w:cs="Arial"/>
          <w:b/>
          <w:bCs/>
          <w:color w:val="212529"/>
          <w:spacing w:val="2"/>
          <w:sz w:val="21"/>
          <w:szCs w:val="21"/>
        </w:rPr>
        <w:t>2.2. Phân loại và nguyên tắc sử dụng hệ thống tài khoản kế toán</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Căn cứ khoản 2 Điều 5 </w:t>
      </w:r>
      <w:hyperlink r:id="rId9"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việc phân loại và nguyên tắc sử dụng hệ thống tài khoản kế toán gồm những nội dung sau:</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 Tài khoản trong bảng gồm tài khoản từ loại 1 đến loại 9, được hạch toán kép (hạch toán bút toán đối ứng giữa các tài khoản). Tài khoản trong bảng phản ánh tình hình tài sản, nguồn vốn, doanh thu, chi phí, xác định kết quả hoạt động của đơn vị trong kỳ kế toán, làm cơ sở để lập báo cáo tài chính.</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(ii) Tài khoản ngoài bảng gồm tài khoản loại 0, được hạch toán đơn (không hạch toán bút toán đối ứng giữa các tài khoản). Trong đó, các tài khoản ngoài bảng 005, 006, 007, 008, 009, 010, 011, 012, 013 áp dụng cho các đơn vị để phản ánh việc nhận và sử dụng kinh phí mà cuối năm đơn vị phải quyết toán số đã sử dụng chi tiết theo mục lục ngân sách nhà nước, làm cơ sở để lập báo cáo quyết toán. Cụ thể như sau:</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 Đối với các tài khoản ngoài bảng liên quan đến quyết toán kinh phí ngân sách nhà nước (tài khoản 005, 006, 007, 008, 009, 010, 011) phải được hạch toán chi tiết theo mục lục ngân sách nhà nước, theo niên độ ngân sách và theo các yêu cầu quản lý khác về quyết toán kinh phí ngân sách nhà nước theo quy định của pháp luật về ngân sách nhà nước.</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 Đối với các tài khoản ngoài bảng liên quan đến quyết toán kinh phí từ tiền thu phí được khấu trừ, để lại và kinh phí từ hoạt động nghiệp vụ mà cơ quan có thẩm quyền có quy định phải quyết toán số đã sử dụng theo mục lục ngân sách nhà nước (tài khoản 012, 013) đơn vị phải hạch toán chi tiết theo mục lục ngân sách nhà nước, theo các yêu cầu quản lý khác về quyết toán các nguồn kinh phí này.</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lastRenderedPageBreak/>
        <w:t>(iii) Trường hợp một nghiệp vụ kinh tế, tài chính phát sinh liên quan đến tiếp nhận, sử dụng kinh phí từ ngân sách nhà nước trong nước; kinh phí từ tiền thu phí được khấu trừ, để lại và kinh phí từ hoạt động nghiệp vụ có quy định phải quyết toán số đã sử dụng theo mục lục ngân sách nhà nước, thì kế toán vừa phải hạch toán kế toán theo các tài khoản trong bảng, đồng thời hạch toán các tài khoản ngoài bảng, chi tiết theo mục lục ngân sách nhà nước và niên độ phù hợp.</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(iv) Trường hợp một nghiệp vụ kinh tế, tài chính phát sinh liên quan đến tiếp nhận và sử dụng kinh phí viện trợ nước ngoài, kinh phí từ nguồn vay nợ nước ngoài theo dự án, thì đơn vị phải thực hiện ghi thu, ghi chi với ngân sách nhà nước theo quy định hiện hành. Sau khi thực hiện ghi thu, ghi chi với ngân sách nhà nước, kế toán phải hạch toán vào tài khoản ngoài bảng để lập báo cáo quyết toán theo quy định tại </w:t>
      </w:r>
      <w:hyperlink r:id="rId10"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w:t>
      </w:r>
    </w:p>
    <w:p w:rsidR="001C116C" w:rsidRDefault="001C116C" w:rsidP="001C116C">
      <w:pPr>
        <w:pStyle w:val="Heading3"/>
        <w:shd w:val="clear" w:color="auto" w:fill="FFFFFF"/>
        <w:spacing w:before="0" w:line="300" w:lineRule="atLeast"/>
        <w:jc w:val="both"/>
        <w:rPr>
          <w:rFonts w:ascii="Arial" w:hAnsi="Arial" w:cs="Arial"/>
          <w:b w:val="0"/>
          <w:bCs w:val="0"/>
          <w:color w:val="212529"/>
          <w:spacing w:val="2"/>
          <w:sz w:val="27"/>
          <w:szCs w:val="27"/>
        </w:rPr>
      </w:pPr>
      <w:r>
        <w:rPr>
          <w:rStyle w:val="Strong"/>
          <w:rFonts w:ascii="Arial" w:hAnsi="Arial" w:cs="Arial"/>
          <w:b/>
          <w:bCs/>
          <w:color w:val="212529"/>
          <w:spacing w:val="2"/>
          <w:sz w:val="21"/>
          <w:szCs w:val="21"/>
        </w:rPr>
        <w:t>2.3. Việc lựa chọn áp dụng hệ thống tài khoản</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Theo khoản 3 Điều 5 </w:t>
      </w:r>
      <w:hyperlink r:id="rId11"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việc lựa chọn áp dụng hệ thống tài khoản kế toán được thực hiện như sau:</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 Căn cứ vào hệ thống tài khoản kế toán ban hành tại Thông tư này, các đơn vị lựa chọn tài khoản kế toán để áp dụng tại đơn vị phù hợp với cơ chế tài chính và hoạt động của đơn vị theo chức năng, nhiệm vụ được giao.</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(ii) Đơn vị kế toán được bổ sung các tài khoản chi tiết cho các tài khoản đã được quy định trong danh mục hệ thống tài khoản kế toán (Phụ lục I) kèm theo </w:t>
      </w:r>
      <w:hyperlink r:id="rId12"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để hạch toán chi tiết phù hợp với yêu cầu quản lý của đơn vị.</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(ii) Trường hợp cần bổ sung tài khoản ngang cấp với các tài khoản đã được quy định trong danh mục hệ thống tài khoản kế toán (Phụ lục I) kèm theo </w:t>
      </w:r>
      <w:hyperlink r:id="rId13"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thì đơn vị phải thực hiện theo quy định tại Luật Kế toán để đảm bảo thống nhất trong sử dụng tài khoản và trình bày thông tin trên báo cáo tài chính, tránh bỏ sót hoặc trùng lặp thông tin báo cáo tài chính.</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Style w:val="Strong"/>
          <w:rFonts w:ascii="Arial" w:eastAsiaTheme="majorEastAsia" w:hAnsi="Arial" w:cs="Arial"/>
          <w:color w:val="212529"/>
          <w:spacing w:val="2"/>
          <w:sz w:val="21"/>
          <w:szCs w:val="21"/>
        </w:rPr>
        <w:t>Lưu ý:</w:t>
      </w:r>
    </w:p>
    <w:p w:rsidR="001C116C" w:rsidRDefault="001C116C" w:rsidP="001C116C">
      <w:pPr>
        <w:pStyle w:val="NormalWeb"/>
        <w:shd w:val="clear" w:color="auto" w:fill="FFFFFF"/>
        <w:spacing w:before="0" w:beforeAutospacing="0" w:after="120" w:afterAutospacing="0"/>
        <w:jc w:val="both"/>
        <w:rPr>
          <w:rFonts w:ascii="Arial" w:hAnsi="Arial" w:cs="Arial"/>
          <w:color w:val="212529"/>
          <w:spacing w:val="2"/>
          <w:sz w:val="21"/>
          <w:szCs w:val="21"/>
        </w:rPr>
      </w:pPr>
      <w:r>
        <w:rPr>
          <w:rFonts w:ascii="Arial" w:hAnsi="Arial" w:cs="Arial"/>
          <w:color w:val="212529"/>
          <w:spacing w:val="2"/>
          <w:sz w:val="21"/>
          <w:szCs w:val="21"/>
        </w:rPr>
        <w:t>Theo khoản 4 Điều 5 </w:t>
      </w:r>
      <w:hyperlink r:id="rId14"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 danh mục hệ thống tài khoản kế toán, giải thích nội dung, kết cấu và phương pháp hạch toán tài khoản kế toán nêu tại Phụ lục I “Hệ thống tài khoản kế toán và hướng dẫn hạch toán kế toán” kèm theo </w:t>
      </w:r>
      <w:hyperlink r:id="rId15" w:tgtFrame="_blank" w:history="1">
        <w:r>
          <w:rPr>
            <w:rStyle w:val="Hyperlink"/>
            <w:rFonts w:ascii="Arial" w:hAnsi="Arial" w:cs="Arial"/>
            <w:color w:val="00B1E1"/>
            <w:spacing w:val="2"/>
            <w:sz w:val="21"/>
            <w:szCs w:val="21"/>
          </w:rPr>
          <w:t>Thông tư 24/2024/TT-BTC</w:t>
        </w:r>
      </w:hyperlink>
      <w:r>
        <w:rPr>
          <w:rFonts w:ascii="Arial" w:hAnsi="Arial" w:cs="Arial"/>
          <w:color w:val="212529"/>
          <w:spacing w:val="2"/>
          <w:sz w:val="21"/>
          <w:szCs w:val="21"/>
        </w:rPr>
        <w:t>.</w:t>
      </w:r>
    </w:p>
    <w:p w:rsidR="009F3088" w:rsidRDefault="009F3088"/>
    <w:sectPr w:rsidR="009F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6C"/>
    <w:rsid w:val="001C116C"/>
    <w:rsid w:val="009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1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1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116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C11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16C"/>
    <w:rPr>
      <w:color w:val="0000FF"/>
      <w:u w:val="single"/>
    </w:rPr>
  </w:style>
  <w:style w:type="character" w:styleId="Strong">
    <w:name w:val="Strong"/>
    <w:basedOn w:val="DefaultParagraphFont"/>
    <w:uiPriority w:val="22"/>
    <w:qFormat/>
    <w:rsid w:val="001C116C"/>
    <w:rPr>
      <w:b/>
      <w:bCs/>
    </w:rPr>
  </w:style>
  <w:style w:type="character" w:customStyle="1" w:styleId="Heading3Char">
    <w:name w:val="Heading 3 Char"/>
    <w:basedOn w:val="DefaultParagraphFont"/>
    <w:link w:val="Heading3"/>
    <w:uiPriority w:val="9"/>
    <w:semiHidden/>
    <w:rsid w:val="001C11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1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11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116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C11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16C"/>
    <w:rPr>
      <w:color w:val="0000FF"/>
      <w:u w:val="single"/>
    </w:rPr>
  </w:style>
  <w:style w:type="character" w:styleId="Strong">
    <w:name w:val="Strong"/>
    <w:basedOn w:val="DefaultParagraphFont"/>
    <w:uiPriority w:val="22"/>
    <w:qFormat/>
    <w:rsid w:val="001C116C"/>
    <w:rPr>
      <w:b/>
      <w:bCs/>
    </w:rPr>
  </w:style>
  <w:style w:type="character" w:customStyle="1" w:styleId="Heading3Char">
    <w:name w:val="Heading 3 Char"/>
    <w:basedOn w:val="DefaultParagraphFont"/>
    <w:link w:val="Heading3"/>
    <w:uiPriority w:val="9"/>
    <w:semiHidden/>
    <w:rsid w:val="001C11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69482">
      <w:bodyDiv w:val="1"/>
      <w:marLeft w:val="0"/>
      <w:marRight w:val="0"/>
      <w:marTop w:val="0"/>
      <w:marBottom w:val="0"/>
      <w:divBdr>
        <w:top w:val="none" w:sz="0" w:space="0" w:color="auto"/>
        <w:left w:val="none" w:sz="0" w:space="0" w:color="auto"/>
        <w:bottom w:val="none" w:sz="0" w:space="0" w:color="auto"/>
        <w:right w:val="none" w:sz="0" w:space="0" w:color="auto"/>
      </w:divBdr>
    </w:div>
    <w:div w:id="1372807384">
      <w:bodyDiv w:val="1"/>
      <w:marLeft w:val="0"/>
      <w:marRight w:val="0"/>
      <w:marTop w:val="0"/>
      <w:marBottom w:val="0"/>
      <w:divBdr>
        <w:top w:val="none" w:sz="0" w:space="0" w:color="auto"/>
        <w:left w:val="none" w:sz="0" w:space="0" w:color="auto"/>
        <w:bottom w:val="none" w:sz="0" w:space="0" w:color="auto"/>
        <w:right w:val="none" w:sz="0" w:space="0" w:color="auto"/>
      </w:divBdr>
    </w:div>
    <w:div w:id="14546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Thong-tu-24-2024-TT-BTC-huong-dan-Che-do-ke-toan-hanh-chinh-su-nghiep-587876.aspx?anchor=dieu_5" TargetMode="External"/><Relationship Id="rId13" Type="http://schemas.openxmlformats.org/officeDocument/2006/relationships/hyperlink" Target="https://thuvienphapluat.vn/van-ban/Ke-toan-Kiem-toan/Thong-tu-24-2024-TT-BTC-huong-dan-Che-do-ke-toan-hanh-chinh-su-nghiep-587876.aspx" TargetMode="External"/><Relationship Id="rId3" Type="http://schemas.openxmlformats.org/officeDocument/2006/relationships/settings" Target="settings.xml"/><Relationship Id="rId7" Type="http://schemas.openxmlformats.org/officeDocument/2006/relationships/hyperlink" Target="https://thuvienphapluat.vn/van-ban/Ke-toan-Kiem-toan/Luat-ke-toan-2015-298369.aspx" TargetMode="External"/><Relationship Id="rId12" Type="http://schemas.openxmlformats.org/officeDocument/2006/relationships/hyperlink" Target="https://thuvienphapluat.vn/van-ban/Ke-toan-Kiem-toan/Thong-tu-24-2024-TT-BTC-huong-dan-Che-do-ke-toan-hanh-chinh-su-nghiep-587876.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Ke-toan-Kiem-toan/Thong-tu-24-2024-TT-BTC-huong-dan-Che-do-ke-toan-hanh-chinh-su-nghiep-587876.aspx?anchor=dieu_4" TargetMode="External"/><Relationship Id="rId11" Type="http://schemas.openxmlformats.org/officeDocument/2006/relationships/hyperlink" Target="https://thuvienphapluat.vn/van-ban/Ke-toan-Kiem-toan/Thong-tu-24-2024-TT-BTC-huong-dan-Che-do-ke-toan-hanh-chinh-su-nghiep-587876.aspx?anchor=dieu_5" TargetMode="External"/><Relationship Id="rId5" Type="http://schemas.openxmlformats.org/officeDocument/2006/relationships/hyperlink" Target="https://thuvienphapluat.vn/van-ban/Ke-toan-Kiem-toan/Thong-tu-24-2024-TT-BTC-huong-dan-Che-do-ke-toan-hanh-chinh-su-nghiep-587876.aspx" TargetMode="External"/><Relationship Id="rId15" Type="http://schemas.openxmlformats.org/officeDocument/2006/relationships/hyperlink" Target="https://thuvienphapluat.vn/van-ban/Ke-toan-Kiem-toan/Thong-tu-24-2024-TT-BTC-huong-dan-Che-do-ke-toan-hanh-chinh-su-nghiep-587876.aspx" TargetMode="External"/><Relationship Id="rId10" Type="http://schemas.openxmlformats.org/officeDocument/2006/relationships/hyperlink" Target="https://thuvienphapluat.vn/van-ban/Ke-toan-Kiem-toan/Thong-tu-24-2024-TT-BTC-huong-dan-Che-do-ke-toan-hanh-chinh-su-nghiep-587876.aspx" TargetMode="External"/><Relationship Id="rId4" Type="http://schemas.openxmlformats.org/officeDocument/2006/relationships/webSettings" Target="webSettings.xml"/><Relationship Id="rId9" Type="http://schemas.openxmlformats.org/officeDocument/2006/relationships/hyperlink" Target="https://thuvienphapluat.vn/van-ban/Ke-toan-Kiem-toan/Thong-tu-24-2024-TT-BTC-huong-dan-Che-do-ke-toan-hanh-chinh-su-nghiep-587876.aspx?anchor=dieu_5" TargetMode="External"/><Relationship Id="rId14" Type="http://schemas.openxmlformats.org/officeDocument/2006/relationships/hyperlink" Target="https://thuvienphapluat.vn/van-ban/Ke-toan-Kiem-toan/Thong-tu-24-2024-TT-BTC-huong-dan-Che-do-ke-toan-hanh-chinh-su-nghiep-587876.aspx?anchor=dieu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2024-12-12T03:08:00Z</dcterms:created>
  <dcterms:modified xsi:type="dcterms:W3CDTF">2024-12-12T03:10:00Z</dcterms:modified>
</cp:coreProperties>
</file>