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38FC" w14:textId="1086AE5B" w:rsidR="00E511FA" w:rsidRPr="001F5BA7" w:rsidRDefault="00E511FA" w:rsidP="00E511FA">
      <w:pPr>
        <w:jc w:val="center"/>
        <w:rPr>
          <w:rFonts w:ascii="Times New Roman" w:eastAsia="Times New Roman" w:hAnsi="Times New Roman" w:cs="Times New Roman"/>
          <w:b/>
          <w:bCs/>
          <w:sz w:val="26"/>
          <w:szCs w:val="26"/>
          <w:lang w:val="vi-VN"/>
        </w:rPr>
      </w:pPr>
      <w:r w:rsidRPr="001F5BA7">
        <w:rPr>
          <w:rFonts w:ascii="Times New Roman" w:eastAsia="Times New Roman" w:hAnsi="Times New Roman" w:cs="Times New Roman"/>
          <w:b/>
          <w:bCs/>
          <w:sz w:val="26"/>
          <w:szCs w:val="26"/>
          <w:lang w:val="vi-VN"/>
        </w:rPr>
        <w:t xml:space="preserve">Thuế </w:t>
      </w:r>
      <w:r w:rsidR="001F5BA7">
        <w:rPr>
          <w:rFonts w:ascii="Times New Roman" w:eastAsia="Times New Roman" w:hAnsi="Times New Roman" w:cs="Times New Roman"/>
          <w:b/>
          <w:bCs/>
          <w:sz w:val="26"/>
          <w:szCs w:val="26"/>
          <w:lang w:val="vi-VN"/>
        </w:rPr>
        <w:t>TNCN</w:t>
      </w:r>
      <w:r w:rsidRPr="001F5BA7">
        <w:rPr>
          <w:rFonts w:ascii="Times New Roman" w:eastAsia="Times New Roman" w:hAnsi="Times New Roman" w:cs="Times New Roman"/>
          <w:b/>
          <w:bCs/>
          <w:sz w:val="26"/>
          <w:szCs w:val="26"/>
          <w:lang w:val="vi-VN"/>
        </w:rPr>
        <w:t xml:space="preserve"> </w:t>
      </w:r>
      <w:r w:rsidR="001F5BA7">
        <w:rPr>
          <w:rFonts w:ascii="Times New Roman" w:eastAsia="Times New Roman" w:hAnsi="Times New Roman" w:cs="Times New Roman"/>
          <w:b/>
          <w:bCs/>
          <w:sz w:val="26"/>
          <w:szCs w:val="26"/>
          <w:lang w:val="vi-VN"/>
        </w:rPr>
        <w:t>đối với kinh doanh online</w:t>
      </w:r>
    </w:p>
    <w:p w14:paraId="3E6DF6D6" w14:textId="77777777" w:rsidR="001F5BA7" w:rsidRPr="001F5BA7" w:rsidRDefault="001F5BA7" w:rsidP="00E511FA">
      <w:pPr>
        <w:rPr>
          <w:rFonts w:ascii="Times New Roman" w:eastAsia="Times New Roman" w:hAnsi="Times New Roman" w:cs="Times New Roman"/>
          <w:b/>
          <w:bCs/>
          <w:sz w:val="26"/>
          <w:szCs w:val="26"/>
        </w:rPr>
      </w:pPr>
    </w:p>
    <w:p w14:paraId="3F0ACC99" w14:textId="118F6C0F" w:rsidR="001F5BA7" w:rsidRPr="001F5BA7" w:rsidRDefault="001F5BA7" w:rsidP="001F5BA7">
      <w:pPr>
        <w:spacing w:before="180" w:after="180"/>
        <w:rPr>
          <w:rFonts w:ascii="Times New Roman" w:eastAsia="Times New Roman" w:hAnsi="Times New Roman" w:cs="Times New Roman"/>
          <w:b/>
          <w:bCs/>
          <w:i/>
          <w:iCs/>
          <w:color w:val="222222"/>
          <w:sz w:val="26"/>
          <w:szCs w:val="26"/>
        </w:rPr>
      </w:pPr>
      <w:r w:rsidRPr="001F5BA7">
        <w:rPr>
          <w:rFonts w:ascii="Times New Roman" w:eastAsia="Times New Roman" w:hAnsi="Times New Roman" w:cs="Times New Roman"/>
          <w:b/>
          <w:bCs/>
          <w:i/>
          <w:iCs/>
          <w:color w:val="222222"/>
          <w:sz w:val="26"/>
          <w:szCs w:val="26"/>
          <w:lang w:val="vi-VN"/>
        </w:rPr>
        <w:t>1. Quy định nộp thuế</w:t>
      </w:r>
    </w:p>
    <w:p w14:paraId="1887DDD1" w14:textId="0CAC0A10" w:rsidR="00E511FA" w:rsidRPr="001F5BA7" w:rsidRDefault="00E511FA" w:rsidP="001F5BA7">
      <w:pPr>
        <w:spacing w:before="180" w:after="180"/>
        <w:rPr>
          <w:rFonts w:ascii="Times New Roman" w:eastAsia="Times New Roman" w:hAnsi="Times New Roman" w:cs="Times New Roman"/>
          <w:color w:val="222222"/>
          <w:sz w:val="26"/>
          <w:szCs w:val="26"/>
        </w:rPr>
      </w:pPr>
      <w:r w:rsidRPr="001F5BA7">
        <w:rPr>
          <w:rFonts w:ascii="Times New Roman" w:eastAsia="Times New Roman" w:hAnsi="Times New Roman" w:cs="Times New Roman"/>
          <w:color w:val="222222"/>
          <w:sz w:val="26"/>
          <w:szCs w:val="26"/>
        </w:rPr>
        <w:t>Theo quy định tại khoản 2 Điều 4 Thông tư </w:t>
      </w:r>
      <w:hyperlink r:id="rId5" w:history="1">
        <w:r w:rsidRPr="001F5BA7">
          <w:rPr>
            <w:rFonts w:ascii="Times New Roman" w:eastAsia="Times New Roman" w:hAnsi="Times New Roman" w:cs="Times New Roman"/>
            <w:color w:val="A67942"/>
            <w:sz w:val="26"/>
            <w:szCs w:val="26"/>
            <w:u w:val="single"/>
          </w:rPr>
          <w:t>40/2021/TT-BTC</w:t>
        </w:r>
      </w:hyperlink>
      <w:r w:rsidRPr="001F5BA7">
        <w:rPr>
          <w:rFonts w:ascii="Times New Roman" w:eastAsia="Times New Roman" w:hAnsi="Times New Roman" w:cs="Times New Roman"/>
          <w:color w:val="222222"/>
          <w:sz w:val="26"/>
          <w:szCs w:val="26"/>
        </w:rPr>
        <w:t>, các cá nhân hoặc hộ kinh doanh khi bán hàng online với</w:t>
      </w:r>
      <w:r w:rsidRPr="001F5BA7">
        <w:rPr>
          <w:rFonts w:ascii="Times New Roman" w:eastAsia="Times New Roman" w:hAnsi="Times New Roman" w:cs="Times New Roman"/>
          <w:b/>
          <w:bCs/>
          <w:color w:val="222222"/>
          <w:sz w:val="26"/>
          <w:szCs w:val="26"/>
        </w:rPr>
        <w:t> doanh thu trên 100 triệu đồng </w:t>
      </w:r>
      <w:r w:rsidRPr="001F5BA7">
        <w:rPr>
          <w:rFonts w:ascii="Times New Roman" w:eastAsia="Times New Roman" w:hAnsi="Times New Roman" w:cs="Times New Roman"/>
          <w:color w:val="222222"/>
          <w:sz w:val="26"/>
          <w:szCs w:val="26"/>
        </w:rPr>
        <w:t>sẽ có trách nhiệm phải đóng thuế giá trị gia tăng (GTGT) và thuế thu nhập cá nhân (TNCN) theo quy định.</w:t>
      </w:r>
    </w:p>
    <w:p w14:paraId="2F555A9E" w14:textId="77777777" w:rsidR="00E511FA" w:rsidRPr="001F5BA7" w:rsidRDefault="00E511FA" w:rsidP="00E511FA">
      <w:pPr>
        <w:spacing w:before="180" w:after="180"/>
        <w:rPr>
          <w:rFonts w:ascii="Times New Roman" w:eastAsia="Times New Roman" w:hAnsi="Times New Roman" w:cs="Times New Roman"/>
          <w:color w:val="222222"/>
          <w:sz w:val="26"/>
          <w:szCs w:val="26"/>
        </w:rPr>
      </w:pPr>
      <w:r w:rsidRPr="001F5BA7">
        <w:rPr>
          <w:rFonts w:ascii="Times New Roman" w:eastAsia="Times New Roman" w:hAnsi="Times New Roman" w:cs="Times New Roman"/>
          <w:color w:val="222222"/>
          <w:sz w:val="26"/>
          <w:szCs w:val="26"/>
        </w:rPr>
        <w:t>Theo đó, mức thuế phải nộp sẽ phụ thuộc vào từng ngành nghề dựa trên tổng doanh thu.</w:t>
      </w:r>
    </w:p>
    <w:p w14:paraId="78822202" w14:textId="77777777" w:rsidR="00E511FA" w:rsidRPr="001F5BA7" w:rsidRDefault="00E511FA" w:rsidP="00E511FA">
      <w:pPr>
        <w:spacing w:before="180" w:after="180"/>
        <w:rPr>
          <w:rFonts w:ascii="Times New Roman" w:eastAsia="Times New Roman" w:hAnsi="Times New Roman" w:cs="Times New Roman"/>
          <w:color w:val="222222"/>
          <w:sz w:val="26"/>
          <w:szCs w:val="26"/>
        </w:rPr>
      </w:pPr>
      <w:r w:rsidRPr="001F5BA7">
        <w:rPr>
          <w:rFonts w:ascii="Times New Roman" w:eastAsia="Times New Roman" w:hAnsi="Times New Roman" w:cs="Times New Roman"/>
          <w:color w:val="222222"/>
          <w:sz w:val="26"/>
          <w:szCs w:val="26"/>
        </w:rPr>
        <w:t>Cụ thể, hoạt động bán hàng online thuộc phạm vi phân phối và cung cấp hàng hóa nên tỷ lệ </w:t>
      </w:r>
      <w:r w:rsidRPr="001F5BA7">
        <w:rPr>
          <w:rFonts w:ascii="Times New Roman" w:eastAsia="Times New Roman" w:hAnsi="Times New Roman" w:cs="Times New Roman"/>
          <w:b/>
          <w:bCs/>
          <w:color w:val="222222"/>
          <w:sz w:val="26"/>
          <w:szCs w:val="26"/>
        </w:rPr>
        <w:t>thuế TNCN phải nộp là 0,5% tổng doanh thu </w:t>
      </w:r>
      <w:r w:rsidRPr="001F5BA7">
        <w:rPr>
          <w:rFonts w:ascii="Times New Roman" w:eastAsia="Times New Roman" w:hAnsi="Times New Roman" w:cs="Times New Roman"/>
          <w:color w:val="222222"/>
          <w:sz w:val="26"/>
          <w:szCs w:val="26"/>
        </w:rPr>
        <w:t>một năm theo quy định tại Phụ lục 1 Danh mục ngành nghề tính thuế giá trị gia tăng, thuế thu nhập cá nhân ban hành tại Thông tư 40/2021/TT-BTC.</w:t>
      </w:r>
    </w:p>
    <w:p w14:paraId="335F92ED" w14:textId="77777777" w:rsidR="00E511FA" w:rsidRPr="001F5BA7" w:rsidRDefault="00E511FA" w:rsidP="00E511FA">
      <w:pPr>
        <w:spacing w:before="180" w:after="180"/>
        <w:rPr>
          <w:rFonts w:ascii="Times New Roman" w:eastAsia="Times New Roman" w:hAnsi="Times New Roman" w:cs="Times New Roman"/>
          <w:color w:val="222222"/>
          <w:sz w:val="26"/>
          <w:szCs w:val="26"/>
        </w:rPr>
      </w:pPr>
      <w:r w:rsidRPr="001F5BA7">
        <w:rPr>
          <w:rFonts w:ascii="Times New Roman" w:eastAsia="Times New Roman" w:hAnsi="Times New Roman" w:cs="Times New Roman"/>
          <w:color w:val="222222"/>
          <w:sz w:val="26"/>
          <w:szCs w:val="26"/>
        </w:rPr>
        <w:t>Ngoài ra, các cá nhân và hộ gia đình khi kinh doanh online cũng sẽ phải </w:t>
      </w:r>
      <w:r w:rsidRPr="001F5BA7">
        <w:rPr>
          <w:rFonts w:ascii="Times New Roman" w:eastAsia="Times New Roman" w:hAnsi="Times New Roman" w:cs="Times New Roman"/>
          <w:b/>
          <w:bCs/>
          <w:color w:val="222222"/>
          <w:sz w:val="26"/>
          <w:szCs w:val="26"/>
        </w:rPr>
        <w:t>nộp 1% thuế GTGT (VAT)</w:t>
      </w:r>
      <w:r w:rsidRPr="001F5BA7">
        <w:rPr>
          <w:rFonts w:ascii="Times New Roman" w:eastAsia="Times New Roman" w:hAnsi="Times New Roman" w:cs="Times New Roman"/>
          <w:color w:val="222222"/>
          <w:sz w:val="26"/>
          <w:szCs w:val="26"/>
        </w:rPr>
        <w:t>. Như vậy, khi kinh doanh online, người bán có nghĩa vụ phải nộp 1,5% thuế GTGT và thuế TNCN trên tổng doanh thu khi bán hàng có mức doanh thu từ 100 triệu đồng trở lên/năm.</w:t>
      </w:r>
    </w:p>
    <w:p w14:paraId="489A794C" w14:textId="3EF2366D" w:rsidR="00E511FA" w:rsidRPr="001F5BA7" w:rsidRDefault="00E511FA" w:rsidP="00E511FA">
      <w:pPr>
        <w:spacing w:before="180" w:after="180"/>
        <w:rPr>
          <w:rFonts w:ascii="Times New Roman" w:eastAsia="Times New Roman" w:hAnsi="Times New Roman" w:cs="Times New Roman"/>
          <w:color w:val="222222"/>
          <w:sz w:val="26"/>
          <w:szCs w:val="26"/>
          <w:lang w:val="vi-VN"/>
        </w:rPr>
      </w:pPr>
      <w:r w:rsidRPr="001F5BA7">
        <w:rPr>
          <w:rFonts w:ascii="Times New Roman" w:eastAsia="Times New Roman" w:hAnsi="Times New Roman" w:cs="Times New Roman"/>
          <w:color w:val="222222"/>
          <w:sz w:val="26"/>
          <w:szCs w:val="26"/>
        </w:rPr>
        <w:t>Theo quy định tại điểm b khoản 2 Điều 44 Luật Quản lý thuế 2019 số </w:t>
      </w:r>
      <w:hyperlink r:id="rId6" w:tgtFrame="_blank" w:tooltip="Luật Quản lý thuế 2019, số 38/2019/QH14" w:history="1">
        <w:r w:rsidRPr="001F5BA7">
          <w:rPr>
            <w:rFonts w:ascii="Times New Roman" w:eastAsia="Times New Roman" w:hAnsi="Times New Roman" w:cs="Times New Roman"/>
            <w:color w:val="A67942"/>
            <w:sz w:val="26"/>
            <w:szCs w:val="26"/>
            <w:u w:val="single"/>
          </w:rPr>
          <w:t>38/2019/QH14</w:t>
        </w:r>
      </w:hyperlink>
      <w:r w:rsidRPr="001F5BA7">
        <w:rPr>
          <w:rFonts w:ascii="Times New Roman" w:eastAsia="Times New Roman" w:hAnsi="Times New Roman" w:cs="Times New Roman"/>
          <w:color w:val="222222"/>
          <w:sz w:val="26"/>
          <w:szCs w:val="26"/>
        </w:rPr>
        <w:t>, người bán hàng online cần phải thực hiện quyết toán thuế TNCN và thuế GTGT chậm nhất là ngày cuối cùng của tháng thứ 04 kể từ thời điểm kết</w:t>
      </w:r>
      <w:r w:rsidRPr="001F5BA7">
        <w:rPr>
          <w:rFonts w:ascii="Times New Roman" w:eastAsia="Times New Roman" w:hAnsi="Times New Roman" w:cs="Times New Roman"/>
          <w:color w:val="222222"/>
          <w:sz w:val="26"/>
          <w:szCs w:val="26"/>
          <w:lang w:val="vi-VN"/>
        </w:rPr>
        <w:t xml:space="preserve"> thúc năm dương lịch. T</w:t>
      </w:r>
      <w:r w:rsidRPr="001F5BA7">
        <w:rPr>
          <w:rFonts w:ascii="Times New Roman" w:eastAsia="Times New Roman" w:hAnsi="Times New Roman" w:cs="Times New Roman"/>
          <w:color w:val="222222"/>
          <w:sz w:val="26"/>
          <w:szCs w:val="26"/>
        </w:rPr>
        <w:t>hời hạn nộp hồ sơ quyết toán thuế trùng vào ngày nghỉ thì thời hạn nộp sẽ được tính là ngày làm việc tiếp theo của ngày nghỉ đó. Các cá nhân, tổ chức hoặc hộ kinh doanh online có nghĩa vụ phải khai thuế một cách trung thực, chính xác và đẩy đủ và nộp thuế đúng hạn theo quy định của pháp luật.</w:t>
      </w:r>
    </w:p>
    <w:p w14:paraId="7180F566" w14:textId="04D2536A" w:rsidR="00E511FA" w:rsidRPr="001F5BA7" w:rsidRDefault="001F5BA7" w:rsidP="00E511FA">
      <w:pPr>
        <w:spacing w:before="180" w:after="180"/>
        <w:outlineLvl w:val="1"/>
        <w:rPr>
          <w:rFonts w:ascii="Times New Roman" w:eastAsia="Times New Roman" w:hAnsi="Times New Roman" w:cs="Times New Roman"/>
          <w:b/>
          <w:bCs/>
          <w:i/>
          <w:iCs/>
          <w:sz w:val="26"/>
          <w:szCs w:val="26"/>
          <w:lang w:val="vi-VN"/>
        </w:rPr>
      </w:pPr>
      <w:r w:rsidRPr="001F5BA7">
        <w:rPr>
          <w:rFonts w:ascii="Times New Roman" w:eastAsia="Times New Roman" w:hAnsi="Times New Roman" w:cs="Times New Roman"/>
          <w:b/>
          <w:bCs/>
          <w:i/>
          <w:iCs/>
          <w:sz w:val="26"/>
          <w:szCs w:val="26"/>
          <w:lang w:val="vi-VN"/>
        </w:rPr>
        <w:t xml:space="preserve">2. </w:t>
      </w:r>
      <w:r w:rsidR="00E511FA" w:rsidRPr="001F5BA7">
        <w:rPr>
          <w:rFonts w:ascii="Times New Roman" w:eastAsia="Times New Roman" w:hAnsi="Times New Roman" w:cs="Times New Roman"/>
          <w:b/>
          <w:bCs/>
          <w:i/>
          <w:iCs/>
          <w:sz w:val="26"/>
          <w:szCs w:val="26"/>
        </w:rPr>
        <w:t>Chậm nộp thuế TNCN khi bán hàng online bị phạt thế nào</w:t>
      </w:r>
      <w:r w:rsidR="00E511FA" w:rsidRPr="001F5BA7">
        <w:rPr>
          <w:rFonts w:ascii="Times New Roman" w:eastAsia="Times New Roman" w:hAnsi="Times New Roman" w:cs="Times New Roman"/>
          <w:b/>
          <w:bCs/>
          <w:i/>
          <w:iCs/>
          <w:sz w:val="26"/>
          <w:szCs w:val="26"/>
          <w:lang w:val="vi-VN"/>
        </w:rPr>
        <w:t>?</w:t>
      </w:r>
    </w:p>
    <w:p w14:paraId="7B534143" w14:textId="19DB8232" w:rsidR="00E511FA" w:rsidRDefault="00E511FA" w:rsidP="00E511FA">
      <w:pPr>
        <w:spacing w:before="180" w:after="180"/>
        <w:rPr>
          <w:rFonts w:ascii="Times New Roman" w:eastAsia="Times New Roman" w:hAnsi="Times New Roman" w:cs="Times New Roman"/>
          <w:color w:val="222222"/>
          <w:sz w:val="26"/>
          <w:szCs w:val="26"/>
        </w:rPr>
      </w:pPr>
      <w:r w:rsidRPr="001F5BA7">
        <w:rPr>
          <w:rFonts w:ascii="Times New Roman" w:eastAsia="Times New Roman" w:hAnsi="Times New Roman" w:cs="Times New Roman"/>
          <w:color w:val="222222"/>
          <w:sz w:val="26"/>
          <w:szCs w:val="26"/>
        </w:rPr>
        <w:t>Theo quy định tại Điều 13 Nghị định </w:t>
      </w:r>
      <w:hyperlink r:id="rId7" w:history="1">
        <w:r w:rsidRPr="001F5BA7">
          <w:rPr>
            <w:rFonts w:ascii="Times New Roman" w:eastAsia="Times New Roman" w:hAnsi="Times New Roman" w:cs="Times New Roman"/>
            <w:color w:val="A67942"/>
            <w:sz w:val="26"/>
            <w:szCs w:val="26"/>
            <w:u w:val="single"/>
          </w:rPr>
          <w:t>125/2020/NĐ-CP</w:t>
        </w:r>
      </w:hyperlink>
      <w:r w:rsidRPr="001F5BA7">
        <w:rPr>
          <w:rFonts w:ascii="Times New Roman" w:eastAsia="Times New Roman" w:hAnsi="Times New Roman" w:cs="Times New Roman"/>
          <w:color w:val="222222"/>
          <w:sz w:val="26"/>
          <w:szCs w:val="26"/>
        </w:rPr>
        <w:t>, mức phạt hành chính khi chậm nộp thuế được quy định như sau:</w:t>
      </w:r>
    </w:p>
    <w:p w14:paraId="151E874B" w14:textId="6381A79F" w:rsidR="001F5BA7" w:rsidRPr="001F5BA7" w:rsidRDefault="001F5BA7" w:rsidP="00E511FA">
      <w:pPr>
        <w:spacing w:before="180" w:after="180"/>
        <w:rPr>
          <w:rFonts w:ascii="Times New Roman" w:eastAsia="Times New Roman" w:hAnsi="Times New Roman" w:cs="Times New Roman"/>
          <w:b/>
          <w:bCs/>
          <w:color w:val="222222"/>
          <w:sz w:val="26"/>
          <w:szCs w:val="26"/>
          <w:lang w:val="vi-VN"/>
        </w:rPr>
      </w:pPr>
      <w:r>
        <w:rPr>
          <w:rFonts w:ascii="Times New Roman" w:eastAsia="Times New Roman" w:hAnsi="Times New Roman" w:cs="Times New Roman"/>
          <w:b/>
          <w:bCs/>
          <w:color w:val="222222"/>
          <w:sz w:val="26"/>
          <w:szCs w:val="26"/>
          <w:lang w:val="vi-VN"/>
        </w:rPr>
        <w:t>(</w:t>
      </w:r>
      <w:r w:rsidRPr="001F5BA7">
        <w:rPr>
          <w:rFonts w:ascii="Times New Roman" w:eastAsia="Times New Roman" w:hAnsi="Times New Roman" w:cs="Times New Roman"/>
          <w:b/>
          <w:bCs/>
          <w:color w:val="222222"/>
          <w:sz w:val="26"/>
          <w:szCs w:val="26"/>
          <w:lang w:val="vi-VN"/>
        </w:rPr>
        <w:t>1</w:t>
      </w:r>
      <w:r>
        <w:rPr>
          <w:rFonts w:ascii="Times New Roman" w:eastAsia="Times New Roman" w:hAnsi="Times New Roman" w:cs="Times New Roman"/>
          <w:b/>
          <w:bCs/>
          <w:color w:val="222222"/>
          <w:sz w:val="26"/>
          <w:szCs w:val="26"/>
          <w:lang w:val="vi-VN"/>
        </w:rPr>
        <w:t>)</w:t>
      </w:r>
      <w:r w:rsidRPr="001F5BA7">
        <w:rPr>
          <w:rFonts w:ascii="Times New Roman" w:eastAsia="Times New Roman" w:hAnsi="Times New Roman" w:cs="Times New Roman"/>
          <w:b/>
          <w:bCs/>
          <w:color w:val="222222"/>
          <w:sz w:val="26"/>
          <w:szCs w:val="26"/>
          <w:lang w:val="vi-VN"/>
        </w:rPr>
        <w:t xml:space="preserve"> Phạt hành chính</w:t>
      </w:r>
    </w:p>
    <w:p w14:paraId="43FBA73E" w14:textId="77777777" w:rsidR="00E511FA" w:rsidRPr="001F5BA7" w:rsidRDefault="00E511FA" w:rsidP="00E511FA">
      <w:pPr>
        <w:spacing w:before="180" w:after="180"/>
        <w:rPr>
          <w:rFonts w:ascii="Times New Roman" w:eastAsia="Times New Roman" w:hAnsi="Times New Roman" w:cs="Times New Roman"/>
          <w:color w:val="222222"/>
          <w:sz w:val="26"/>
          <w:szCs w:val="26"/>
        </w:rPr>
      </w:pPr>
      <w:r w:rsidRPr="001F5BA7">
        <w:rPr>
          <w:rFonts w:ascii="Times New Roman" w:eastAsia="Times New Roman" w:hAnsi="Times New Roman" w:cs="Times New Roman"/>
          <w:color w:val="222222"/>
          <w:sz w:val="26"/>
          <w:szCs w:val="26"/>
        </w:rPr>
        <w:t>- Phạt cảnh cáo: Quá thời hạn từ 01 - 05 ngày và có tình tiết giảm nhẹ.</w:t>
      </w:r>
    </w:p>
    <w:p w14:paraId="284BD1C3" w14:textId="77777777" w:rsidR="00E511FA" w:rsidRPr="001F5BA7" w:rsidRDefault="00E511FA" w:rsidP="00E511FA">
      <w:pPr>
        <w:spacing w:before="180" w:after="180"/>
        <w:rPr>
          <w:rFonts w:ascii="Times New Roman" w:eastAsia="Times New Roman" w:hAnsi="Times New Roman" w:cs="Times New Roman"/>
          <w:color w:val="222222"/>
          <w:sz w:val="26"/>
          <w:szCs w:val="26"/>
        </w:rPr>
      </w:pPr>
      <w:r w:rsidRPr="001F5BA7">
        <w:rPr>
          <w:rFonts w:ascii="Times New Roman" w:eastAsia="Times New Roman" w:hAnsi="Times New Roman" w:cs="Times New Roman"/>
          <w:color w:val="222222"/>
          <w:sz w:val="26"/>
          <w:szCs w:val="26"/>
        </w:rPr>
        <w:t>- Phạt từ 02 - 05 triệu đồng: Quá thời hạn từ 01 - 30 ngày, trừ khi thuộc trường hợp cảnh cáo ở trên.</w:t>
      </w:r>
    </w:p>
    <w:p w14:paraId="7FBAF051" w14:textId="77777777" w:rsidR="00E511FA" w:rsidRPr="001F5BA7" w:rsidRDefault="00E511FA" w:rsidP="00E511FA">
      <w:pPr>
        <w:spacing w:before="180" w:after="180"/>
        <w:rPr>
          <w:rFonts w:ascii="Times New Roman" w:eastAsia="Times New Roman" w:hAnsi="Times New Roman" w:cs="Times New Roman"/>
          <w:color w:val="222222"/>
          <w:sz w:val="26"/>
          <w:szCs w:val="26"/>
        </w:rPr>
      </w:pPr>
      <w:r w:rsidRPr="001F5BA7">
        <w:rPr>
          <w:rFonts w:ascii="Times New Roman" w:eastAsia="Times New Roman" w:hAnsi="Times New Roman" w:cs="Times New Roman"/>
          <w:color w:val="222222"/>
          <w:sz w:val="26"/>
          <w:szCs w:val="26"/>
        </w:rPr>
        <w:t>- Phạt từ 05 - 08 triệu đồng: Quá thời hạn từ 31 - 60 ngày.</w:t>
      </w:r>
    </w:p>
    <w:p w14:paraId="41A24265" w14:textId="77777777" w:rsidR="00E511FA" w:rsidRPr="001F5BA7" w:rsidRDefault="00E511FA" w:rsidP="00E511FA">
      <w:pPr>
        <w:spacing w:before="180" w:after="180"/>
        <w:rPr>
          <w:rFonts w:ascii="Times New Roman" w:eastAsia="Times New Roman" w:hAnsi="Times New Roman" w:cs="Times New Roman"/>
          <w:color w:val="222222"/>
          <w:sz w:val="26"/>
          <w:szCs w:val="26"/>
        </w:rPr>
      </w:pPr>
      <w:r w:rsidRPr="001F5BA7">
        <w:rPr>
          <w:rFonts w:ascii="Times New Roman" w:eastAsia="Times New Roman" w:hAnsi="Times New Roman" w:cs="Times New Roman"/>
          <w:color w:val="222222"/>
          <w:sz w:val="26"/>
          <w:szCs w:val="26"/>
        </w:rPr>
        <w:t>- Phạt từ 08 - 15 triệu đồng:</w:t>
      </w:r>
    </w:p>
    <w:p w14:paraId="08D9F6FC" w14:textId="77777777" w:rsidR="00E511FA" w:rsidRPr="001F5BA7" w:rsidRDefault="00E511FA" w:rsidP="00E511FA">
      <w:pPr>
        <w:numPr>
          <w:ilvl w:val="0"/>
          <w:numId w:val="2"/>
        </w:numPr>
        <w:spacing w:before="180" w:after="180"/>
        <w:ind w:left="870"/>
        <w:rPr>
          <w:rFonts w:ascii="Times New Roman" w:eastAsia="Times New Roman" w:hAnsi="Times New Roman" w:cs="Times New Roman"/>
          <w:color w:val="222222"/>
          <w:sz w:val="26"/>
          <w:szCs w:val="26"/>
        </w:rPr>
      </w:pPr>
      <w:r w:rsidRPr="001F5BA7">
        <w:rPr>
          <w:rFonts w:ascii="Times New Roman" w:eastAsia="Times New Roman" w:hAnsi="Times New Roman" w:cs="Times New Roman"/>
          <w:color w:val="222222"/>
          <w:sz w:val="26"/>
          <w:szCs w:val="26"/>
        </w:rPr>
        <w:t>Quá hạn từ 61 - 90 ngày.</w:t>
      </w:r>
    </w:p>
    <w:p w14:paraId="2CE4D04E" w14:textId="77777777" w:rsidR="00E511FA" w:rsidRPr="001F5BA7" w:rsidRDefault="00E511FA" w:rsidP="00E511FA">
      <w:pPr>
        <w:numPr>
          <w:ilvl w:val="0"/>
          <w:numId w:val="2"/>
        </w:numPr>
        <w:spacing w:before="180" w:after="180"/>
        <w:ind w:left="870"/>
        <w:rPr>
          <w:rFonts w:ascii="Times New Roman" w:eastAsia="Times New Roman" w:hAnsi="Times New Roman" w:cs="Times New Roman"/>
          <w:color w:val="222222"/>
          <w:sz w:val="26"/>
          <w:szCs w:val="26"/>
        </w:rPr>
      </w:pPr>
      <w:r w:rsidRPr="001F5BA7">
        <w:rPr>
          <w:rFonts w:ascii="Times New Roman" w:eastAsia="Times New Roman" w:hAnsi="Times New Roman" w:cs="Times New Roman"/>
          <w:color w:val="222222"/>
          <w:sz w:val="26"/>
          <w:szCs w:val="26"/>
        </w:rPr>
        <w:t>Quá hạn từ 91 ngày trở lên nhưng không phát sinh số thuế phải nộp.</w:t>
      </w:r>
    </w:p>
    <w:p w14:paraId="611800FF" w14:textId="77777777" w:rsidR="00E511FA" w:rsidRPr="001F5BA7" w:rsidRDefault="00E511FA" w:rsidP="00E511FA">
      <w:pPr>
        <w:numPr>
          <w:ilvl w:val="0"/>
          <w:numId w:val="2"/>
        </w:numPr>
        <w:spacing w:before="180" w:after="180"/>
        <w:ind w:left="870"/>
        <w:rPr>
          <w:rFonts w:ascii="Times New Roman" w:eastAsia="Times New Roman" w:hAnsi="Times New Roman" w:cs="Times New Roman"/>
          <w:color w:val="222222"/>
          <w:sz w:val="26"/>
          <w:szCs w:val="26"/>
        </w:rPr>
      </w:pPr>
      <w:r w:rsidRPr="001F5BA7">
        <w:rPr>
          <w:rFonts w:ascii="Times New Roman" w:eastAsia="Times New Roman" w:hAnsi="Times New Roman" w:cs="Times New Roman"/>
          <w:color w:val="222222"/>
          <w:sz w:val="26"/>
          <w:szCs w:val="26"/>
        </w:rPr>
        <w:lastRenderedPageBreak/>
        <w:t>Không nộp hồ sơ khai thuế nhưng không phát sinh số thuế phải nộp.</w:t>
      </w:r>
    </w:p>
    <w:p w14:paraId="70EB2D78" w14:textId="77777777" w:rsidR="00E511FA" w:rsidRPr="001F5BA7" w:rsidRDefault="00E511FA" w:rsidP="00E511FA">
      <w:pPr>
        <w:spacing w:before="180" w:after="180"/>
        <w:rPr>
          <w:rFonts w:ascii="Times New Roman" w:eastAsia="Times New Roman" w:hAnsi="Times New Roman" w:cs="Times New Roman"/>
          <w:color w:val="222222"/>
          <w:sz w:val="26"/>
          <w:szCs w:val="26"/>
        </w:rPr>
      </w:pPr>
      <w:r w:rsidRPr="001F5BA7">
        <w:rPr>
          <w:rFonts w:ascii="Times New Roman" w:eastAsia="Times New Roman" w:hAnsi="Times New Roman" w:cs="Times New Roman"/>
          <w:color w:val="222222"/>
          <w:sz w:val="26"/>
          <w:szCs w:val="26"/>
        </w:rPr>
        <w:t>- Phạt từ 15 - 25 triệu đồng: Quá hạn hơn 90 ngày, có phát sinh thuế phải nộp nhưng đã nộp đủ trước thời điểm cơ quan thuế quyết định kiểm tra thuế, thanh tra thuế hoặc bị lập biên bản về hành vi chậm nộp hồ sơ khai thuế.</w:t>
      </w:r>
    </w:p>
    <w:p w14:paraId="093C57F2" w14:textId="77777777" w:rsidR="00E511FA" w:rsidRPr="001F5BA7" w:rsidRDefault="00E511FA" w:rsidP="00E511FA">
      <w:pPr>
        <w:spacing w:before="180" w:after="180"/>
        <w:rPr>
          <w:rFonts w:ascii="Times New Roman" w:eastAsia="Times New Roman" w:hAnsi="Times New Roman" w:cs="Times New Roman"/>
          <w:color w:val="222222"/>
          <w:sz w:val="26"/>
          <w:szCs w:val="26"/>
        </w:rPr>
      </w:pPr>
      <w:r w:rsidRPr="001F5BA7">
        <w:rPr>
          <w:rFonts w:ascii="Times New Roman" w:eastAsia="Times New Roman" w:hAnsi="Times New Roman" w:cs="Times New Roman"/>
          <w:b/>
          <w:bCs/>
          <w:color w:val="222222"/>
          <w:sz w:val="26"/>
          <w:szCs w:val="26"/>
        </w:rPr>
        <w:t>(2) Cưỡng chế cấm xuất cảnh</w:t>
      </w:r>
    </w:p>
    <w:p w14:paraId="6B06A26C" w14:textId="77777777" w:rsidR="00E511FA" w:rsidRPr="001F5BA7" w:rsidRDefault="00E511FA" w:rsidP="00E511FA">
      <w:pPr>
        <w:spacing w:before="180" w:after="180"/>
        <w:rPr>
          <w:rFonts w:ascii="Times New Roman" w:eastAsia="Times New Roman" w:hAnsi="Times New Roman" w:cs="Times New Roman"/>
          <w:color w:val="222222"/>
          <w:sz w:val="26"/>
          <w:szCs w:val="26"/>
        </w:rPr>
      </w:pPr>
      <w:r w:rsidRPr="001F5BA7">
        <w:rPr>
          <w:rFonts w:ascii="Times New Roman" w:eastAsia="Times New Roman" w:hAnsi="Times New Roman" w:cs="Times New Roman"/>
          <w:color w:val="222222"/>
          <w:sz w:val="26"/>
          <w:szCs w:val="26"/>
        </w:rPr>
        <w:t>Nợ thuế là trường hợp phổ biến dẫn đến bị tạm hoãn xuất cảnh hiện nay.</w:t>
      </w:r>
    </w:p>
    <w:p w14:paraId="7891FC52" w14:textId="77777777" w:rsidR="00E511FA" w:rsidRPr="001F5BA7" w:rsidRDefault="00E511FA" w:rsidP="00E511FA">
      <w:pPr>
        <w:spacing w:before="180" w:after="180"/>
        <w:rPr>
          <w:rFonts w:ascii="Times New Roman" w:eastAsia="Times New Roman" w:hAnsi="Times New Roman" w:cs="Times New Roman"/>
          <w:color w:val="222222"/>
          <w:sz w:val="26"/>
          <w:szCs w:val="26"/>
        </w:rPr>
      </w:pPr>
      <w:r w:rsidRPr="001F5BA7">
        <w:rPr>
          <w:rFonts w:ascii="Times New Roman" w:eastAsia="Times New Roman" w:hAnsi="Times New Roman" w:cs="Times New Roman"/>
          <w:color w:val="222222"/>
          <w:sz w:val="26"/>
          <w:szCs w:val="26"/>
        </w:rPr>
        <w:t>Theo quy định tại khoản 5 Điều 36 Luật xuất cảnh, nhập cảnh 2019 số </w:t>
      </w:r>
      <w:hyperlink r:id="rId8" w:history="1">
        <w:r w:rsidRPr="001F5BA7">
          <w:rPr>
            <w:rFonts w:ascii="Times New Roman" w:eastAsia="Times New Roman" w:hAnsi="Times New Roman" w:cs="Times New Roman"/>
            <w:color w:val="A67942"/>
            <w:sz w:val="26"/>
            <w:szCs w:val="26"/>
            <w:u w:val="single"/>
          </w:rPr>
          <w:t>49/2019/QH14</w:t>
        </w:r>
      </w:hyperlink>
      <w:r w:rsidRPr="001F5BA7">
        <w:rPr>
          <w:rFonts w:ascii="Times New Roman" w:eastAsia="Times New Roman" w:hAnsi="Times New Roman" w:cs="Times New Roman"/>
          <w:color w:val="222222"/>
          <w:sz w:val="26"/>
          <w:szCs w:val="26"/>
        </w:rPr>
        <w:t>, các cá nhân, đại diện doanh nghiệp chịu trách nhiệm nộp thuế nhưng lại nộp chậm hoặc cố tình trốn thuế và thuộc diện đang bị cưỡng chế thi hành quyết định hành chính về quản lý thuế sẽ bị cấm, tạm hoãn, gia hạn, hủy bỏ việc xuất cảnh.</w:t>
      </w:r>
    </w:p>
    <w:p w14:paraId="1389D5FF" w14:textId="77777777" w:rsidR="00E511FA" w:rsidRPr="001F5BA7" w:rsidRDefault="00E511FA" w:rsidP="00E511FA">
      <w:pPr>
        <w:spacing w:before="180" w:after="180"/>
        <w:rPr>
          <w:rFonts w:ascii="Times New Roman" w:eastAsia="Times New Roman" w:hAnsi="Times New Roman" w:cs="Times New Roman"/>
          <w:color w:val="222222"/>
          <w:sz w:val="26"/>
          <w:szCs w:val="26"/>
        </w:rPr>
      </w:pPr>
      <w:r w:rsidRPr="001F5BA7">
        <w:rPr>
          <w:rFonts w:ascii="Times New Roman" w:eastAsia="Times New Roman" w:hAnsi="Times New Roman" w:cs="Times New Roman"/>
          <w:color w:val="222222"/>
          <w:sz w:val="26"/>
          <w:szCs w:val="26"/>
        </w:rPr>
        <w:t>Trường hợp là người Việt Nam định cư ở nước ngoài hoặc người Việt Nam xuất cảnh để sang định cư ở nước ngoài mà chưa thực hiện xong nghĩa vụ nộp thuế thì cũng sẽ bị cấm xuất cảnh.</w:t>
      </w:r>
    </w:p>
    <w:p w14:paraId="29E34306" w14:textId="77777777" w:rsidR="00E511FA" w:rsidRPr="001F5BA7" w:rsidRDefault="00E511FA" w:rsidP="00E511FA">
      <w:pPr>
        <w:spacing w:before="180" w:after="180"/>
        <w:rPr>
          <w:rFonts w:ascii="Times New Roman" w:eastAsia="Times New Roman" w:hAnsi="Times New Roman" w:cs="Times New Roman"/>
          <w:color w:val="222222"/>
          <w:sz w:val="26"/>
          <w:szCs w:val="26"/>
        </w:rPr>
      </w:pPr>
      <w:r w:rsidRPr="001F5BA7">
        <w:rPr>
          <w:rFonts w:ascii="Times New Roman" w:eastAsia="Times New Roman" w:hAnsi="Times New Roman" w:cs="Times New Roman"/>
          <w:color w:val="222222"/>
          <w:sz w:val="26"/>
          <w:szCs w:val="26"/>
        </w:rPr>
        <w:t>Như vậy có thể thấy, nếu người bán hàng online cố tình trốn hoặc chậm nộp thuế thì sẽ bị đưa vào danh sách bị cấm xuất cảnh cho đến khi hoàn thành nghĩa vụ nộp thuế đầy đủ.</w:t>
      </w:r>
    </w:p>
    <w:p w14:paraId="0E8EF72D" w14:textId="77777777" w:rsidR="00E511FA" w:rsidRPr="001F5BA7" w:rsidRDefault="00E511FA" w:rsidP="00E511FA">
      <w:pPr>
        <w:spacing w:before="180" w:after="180"/>
        <w:rPr>
          <w:rFonts w:ascii="Times New Roman" w:eastAsia="Times New Roman" w:hAnsi="Times New Roman" w:cs="Times New Roman"/>
          <w:color w:val="222222"/>
          <w:sz w:val="26"/>
          <w:szCs w:val="26"/>
        </w:rPr>
      </w:pPr>
      <w:r w:rsidRPr="001F5BA7">
        <w:rPr>
          <w:rFonts w:ascii="Times New Roman" w:eastAsia="Times New Roman" w:hAnsi="Times New Roman" w:cs="Times New Roman"/>
          <w:color w:val="222222"/>
          <w:sz w:val="26"/>
          <w:szCs w:val="26"/>
        </w:rPr>
        <w:t>Mới đây, tại cuộc họp liên quan tới các đề xuất về việc chống thất thu thuế từ thương mại điện tử vào tháng 2/2024 vừa qua, Tổng cục thuế đã đưa ra đề xuất sẽ rà soát để đưa nhiều cá nhân, tổ chức vào diện quản lý, yêu cầu kê khai phù hợp nhằm điều chỉnh doanh thu hoặc xử lý truy thu.</w:t>
      </w:r>
    </w:p>
    <w:p w14:paraId="1DAD4374" w14:textId="77777777" w:rsidR="00E511FA" w:rsidRPr="001F5BA7" w:rsidRDefault="00E511FA" w:rsidP="00E511FA">
      <w:pPr>
        <w:spacing w:before="180" w:after="180"/>
        <w:rPr>
          <w:rFonts w:ascii="Times New Roman" w:eastAsia="Times New Roman" w:hAnsi="Times New Roman" w:cs="Times New Roman"/>
          <w:color w:val="222222"/>
          <w:sz w:val="26"/>
          <w:szCs w:val="26"/>
        </w:rPr>
      </w:pPr>
      <w:r w:rsidRPr="001F5BA7">
        <w:rPr>
          <w:rFonts w:ascii="Times New Roman" w:eastAsia="Times New Roman" w:hAnsi="Times New Roman" w:cs="Times New Roman"/>
          <w:color w:val="222222"/>
          <w:sz w:val="26"/>
          <w:szCs w:val="26"/>
        </w:rPr>
        <w:t>Theo đó, cơ quan thuế sẽ áp dụng các biện pháp cưỡng chế tạm hoãn việc xuất cảnh đối với những người bán hàng online nhưng chưa hoàn thành nghĩa vụ về thuế.</w:t>
      </w:r>
    </w:p>
    <w:p w14:paraId="5D53B13C" w14:textId="77777777" w:rsidR="00E511FA" w:rsidRPr="001F5BA7" w:rsidRDefault="00E511FA">
      <w:pPr>
        <w:rPr>
          <w:rFonts w:ascii="Times New Roman" w:hAnsi="Times New Roman" w:cs="Times New Roman"/>
          <w:sz w:val="26"/>
          <w:szCs w:val="26"/>
        </w:rPr>
      </w:pPr>
    </w:p>
    <w:sectPr w:rsidR="00E511FA" w:rsidRPr="001F5B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7528B"/>
    <w:multiLevelType w:val="multilevel"/>
    <w:tmpl w:val="DCFE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605D6"/>
    <w:multiLevelType w:val="multilevel"/>
    <w:tmpl w:val="46A4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0938F2"/>
    <w:multiLevelType w:val="hybridMultilevel"/>
    <w:tmpl w:val="A8507996"/>
    <w:lvl w:ilvl="0" w:tplc="FDF66FC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602556">
    <w:abstractNumId w:val="0"/>
  </w:num>
  <w:num w:numId="2" w16cid:durableId="471751177">
    <w:abstractNumId w:val="1"/>
  </w:num>
  <w:num w:numId="3" w16cid:durableId="758603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FA"/>
    <w:rsid w:val="001F5BA7"/>
    <w:rsid w:val="00E511FA"/>
    <w:rsid w:val="00F1648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0EE010A"/>
  <w15:chartTrackingRefBased/>
  <w15:docId w15:val="{8E1C9E23-E9A6-7B45-9405-88F47C2A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11F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11F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1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11F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511FA"/>
    <w:rPr>
      <w:color w:val="0000FF"/>
      <w:u w:val="single"/>
    </w:rPr>
  </w:style>
  <w:style w:type="character" w:customStyle="1" w:styleId="apple-converted-space">
    <w:name w:val="apple-converted-space"/>
    <w:basedOn w:val="DefaultParagraphFont"/>
    <w:rsid w:val="00E511FA"/>
  </w:style>
  <w:style w:type="character" w:styleId="Strong">
    <w:name w:val="Strong"/>
    <w:basedOn w:val="DefaultParagraphFont"/>
    <w:uiPriority w:val="22"/>
    <w:qFormat/>
    <w:rsid w:val="00E511FA"/>
    <w:rPr>
      <w:b/>
      <w:bCs/>
    </w:rPr>
  </w:style>
  <w:style w:type="character" w:styleId="Emphasis">
    <w:name w:val="Emphasis"/>
    <w:basedOn w:val="DefaultParagraphFont"/>
    <w:uiPriority w:val="20"/>
    <w:qFormat/>
    <w:rsid w:val="00E511FA"/>
    <w:rPr>
      <w:i/>
      <w:iCs/>
    </w:rPr>
  </w:style>
  <w:style w:type="paragraph" w:styleId="NormalWeb">
    <w:name w:val="Normal (Web)"/>
    <w:basedOn w:val="Normal"/>
    <w:uiPriority w:val="99"/>
    <w:semiHidden/>
    <w:unhideWhenUsed/>
    <w:rsid w:val="00E511F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F5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4895">
      <w:bodyDiv w:val="1"/>
      <w:marLeft w:val="0"/>
      <w:marRight w:val="0"/>
      <w:marTop w:val="0"/>
      <w:marBottom w:val="0"/>
      <w:divBdr>
        <w:top w:val="none" w:sz="0" w:space="0" w:color="auto"/>
        <w:left w:val="none" w:sz="0" w:space="0" w:color="auto"/>
        <w:bottom w:val="none" w:sz="0" w:space="0" w:color="auto"/>
        <w:right w:val="none" w:sz="0" w:space="0" w:color="auto"/>
      </w:divBdr>
      <w:divsChild>
        <w:div w:id="1948544046">
          <w:marLeft w:val="0"/>
          <w:marRight w:val="0"/>
          <w:marTop w:val="0"/>
          <w:marBottom w:val="0"/>
          <w:divBdr>
            <w:top w:val="none" w:sz="0" w:space="0" w:color="auto"/>
            <w:left w:val="none" w:sz="0" w:space="0" w:color="auto"/>
            <w:bottom w:val="none" w:sz="0" w:space="0" w:color="auto"/>
            <w:right w:val="none" w:sz="0" w:space="0" w:color="auto"/>
          </w:divBdr>
          <w:divsChild>
            <w:div w:id="1025525619">
              <w:marLeft w:val="0"/>
              <w:marRight w:val="240"/>
              <w:marTop w:val="0"/>
              <w:marBottom w:val="0"/>
              <w:divBdr>
                <w:top w:val="none" w:sz="0" w:space="0" w:color="auto"/>
                <w:left w:val="none" w:sz="0" w:space="0" w:color="auto"/>
                <w:bottom w:val="none" w:sz="0" w:space="0" w:color="auto"/>
                <w:right w:val="none" w:sz="0" w:space="0" w:color="auto"/>
              </w:divBdr>
              <w:divsChild>
                <w:div w:id="515386983">
                  <w:marLeft w:val="0"/>
                  <w:marRight w:val="0"/>
                  <w:marTop w:val="0"/>
                  <w:marBottom w:val="0"/>
                  <w:divBdr>
                    <w:top w:val="none" w:sz="0" w:space="0" w:color="auto"/>
                    <w:left w:val="none" w:sz="0" w:space="0" w:color="auto"/>
                    <w:bottom w:val="none" w:sz="0" w:space="0" w:color="auto"/>
                    <w:right w:val="none" w:sz="0" w:space="0" w:color="auto"/>
                  </w:divBdr>
                  <w:divsChild>
                    <w:div w:id="16933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8956">
              <w:marLeft w:val="0"/>
              <w:marRight w:val="0"/>
              <w:marTop w:val="0"/>
              <w:marBottom w:val="0"/>
              <w:divBdr>
                <w:top w:val="none" w:sz="0" w:space="0" w:color="auto"/>
                <w:left w:val="none" w:sz="0" w:space="0" w:color="auto"/>
                <w:bottom w:val="none" w:sz="0" w:space="0" w:color="auto"/>
                <w:right w:val="none" w:sz="0" w:space="0" w:color="auto"/>
              </w:divBdr>
              <w:divsChild>
                <w:div w:id="198587557">
                  <w:marLeft w:val="0"/>
                  <w:marRight w:val="0"/>
                  <w:marTop w:val="0"/>
                  <w:marBottom w:val="0"/>
                  <w:divBdr>
                    <w:top w:val="none" w:sz="0" w:space="0" w:color="auto"/>
                    <w:left w:val="none" w:sz="0" w:space="0" w:color="auto"/>
                    <w:bottom w:val="none" w:sz="0" w:space="0" w:color="auto"/>
                    <w:right w:val="none" w:sz="0" w:space="0" w:color="auto"/>
                  </w:divBdr>
                  <w:divsChild>
                    <w:div w:id="4022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38630">
          <w:marLeft w:val="0"/>
          <w:marRight w:val="0"/>
          <w:marTop w:val="0"/>
          <w:marBottom w:val="240"/>
          <w:divBdr>
            <w:top w:val="none" w:sz="0" w:space="0" w:color="auto"/>
            <w:left w:val="none" w:sz="0" w:space="0" w:color="auto"/>
            <w:bottom w:val="none" w:sz="0" w:space="0" w:color="auto"/>
            <w:right w:val="none" w:sz="0" w:space="0" w:color="auto"/>
          </w:divBdr>
          <w:divsChild>
            <w:div w:id="1094395849">
              <w:marLeft w:val="0"/>
              <w:marRight w:val="0"/>
              <w:marTop w:val="0"/>
              <w:marBottom w:val="0"/>
              <w:divBdr>
                <w:top w:val="none" w:sz="0" w:space="0" w:color="auto"/>
                <w:left w:val="none" w:sz="0" w:space="0" w:color="auto"/>
                <w:bottom w:val="none" w:sz="0" w:space="0" w:color="auto"/>
                <w:right w:val="none" w:sz="0" w:space="0" w:color="auto"/>
              </w:divBdr>
            </w:div>
            <w:div w:id="2044674621">
              <w:marLeft w:val="0"/>
              <w:marRight w:val="0"/>
              <w:marTop w:val="0"/>
              <w:marBottom w:val="0"/>
              <w:divBdr>
                <w:top w:val="none" w:sz="0" w:space="0" w:color="auto"/>
                <w:left w:val="none" w:sz="0" w:space="0" w:color="auto"/>
                <w:bottom w:val="none" w:sz="0" w:space="0" w:color="auto"/>
                <w:right w:val="none" w:sz="0" w:space="0" w:color="auto"/>
              </w:divBdr>
              <w:divsChild>
                <w:div w:id="1381981310">
                  <w:marLeft w:val="0"/>
                  <w:marRight w:val="0"/>
                  <w:marTop w:val="0"/>
                  <w:marBottom w:val="0"/>
                  <w:divBdr>
                    <w:top w:val="none" w:sz="0" w:space="0" w:color="auto"/>
                    <w:left w:val="none" w:sz="0" w:space="0" w:color="auto"/>
                    <w:bottom w:val="none" w:sz="0" w:space="0" w:color="auto"/>
                    <w:right w:val="none" w:sz="0" w:space="0" w:color="auto"/>
                  </w:divBdr>
                  <w:divsChild>
                    <w:div w:id="1590188604">
                      <w:marLeft w:val="0"/>
                      <w:marRight w:val="0"/>
                      <w:marTop w:val="0"/>
                      <w:marBottom w:val="0"/>
                      <w:divBdr>
                        <w:top w:val="none" w:sz="0" w:space="0" w:color="auto"/>
                        <w:left w:val="none" w:sz="0" w:space="0" w:color="auto"/>
                        <w:bottom w:val="none" w:sz="0" w:space="0" w:color="auto"/>
                        <w:right w:val="none" w:sz="0" w:space="0" w:color="auto"/>
                      </w:divBdr>
                      <w:divsChild>
                        <w:div w:id="368915066">
                          <w:marLeft w:val="0"/>
                          <w:marRight w:val="0"/>
                          <w:marTop w:val="0"/>
                          <w:marBottom w:val="0"/>
                          <w:divBdr>
                            <w:top w:val="none" w:sz="0" w:space="0" w:color="auto"/>
                            <w:left w:val="none" w:sz="0" w:space="0" w:color="auto"/>
                            <w:bottom w:val="none" w:sz="0" w:space="0" w:color="auto"/>
                            <w:right w:val="none" w:sz="0" w:space="0" w:color="auto"/>
                          </w:divBdr>
                          <w:divsChild>
                            <w:div w:id="1237787671">
                              <w:marLeft w:val="0"/>
                              <w:marRight w:val="0"/>
                              <w:marTop w:val="0"/>
                              <w:marBottom w:val="0"/>
                              <w:divBdr>
                                <w:top w:val="none" w:sz="0" w:space="0" w:color="auto"/>
                                <w:left w:val="none" w:sz="0" w:space="0" w:color="auto"/>
                                <w:bottom w:val="none" w:sz="0" w:space="0" w:color="auto"/>
                                <w:right w:val="none" w:sz="0" w:space="0" w:color="auto"/>
                              </w:divBdr>
                              <w:divsChild>
                                <w:div w:id="16160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467364">
      <w:bodyDiv w:val="1"/>
      <w:marLeft w:val="0"/>
      <w:marRight w:val="0"/>
      <w:marTop w:val="0"/>
      <w:marBottom w:val="0"/>
      <w:divBdr>
        <w:top w:val="none" w:sz="0" w:space="0" w:color="auto"/>
        <w:left w:val="none" w:sz="0" w:space="0" w:color="auto"/>
        <w:bottom w:val="none" w:sz="0" w:space="0" w:color="auto"/>
        <w:right w:val="none" w:sz="0" w:space="0" w:color="auto"/>
      </w:divBdr>
      <w:divsChild>
        <w:div w:id="383329759">
          <w:marLeft w:val="0"/>
          <w:marRight w:val="0"/>
          <w:marTop w:val="0"/>
          <w:marBottom w:val="0"/>
          <w:divBdr>
            <w:top w:val="none" w:sz="0" w:space="0" w:color="auto"/>
            <w:left w:val="none" w:sz="0" w:space="0" w:color="auto"/>
            <w:bottom w:val="none" w:sz="0" w:space="0" w:color="auto"/>
            <w:right w:val="none" w:sz="0" w:space="0" w:color="auto"/>
          </w:divBdr>
          <w:divsChild>
            <w:div w:id="1500270053">
              <w:marLeft w:val="0"/>
              <w:marRight w:val="240"/>
              <w:marTop w:val="0"/>
              <w:marBottom w:val="0"/>
              <w:divBdr>
                <w:top w:val="none" w:sz="0" w:space="0" w:color="auto"/>
                <w:left w:val="none" w:sz="0" w:space="0" w:color="auto"/>
                <w:bottom w:val="none" w:sz="0" w:space="0" w:color="auto"/>
                <w:right w:val="none" w:sz="0" w:space="0" w:color="auto"/>
              </w:divBdr>
              <w:divsChild>
                <w:div w:id="1350830900">
                  <w:marLeft w:val="0"/>
                  <w:marRight w:val="0"/>
                  <w:marTop w:val="0"/>
                  <w:marBottom w:val="0"/>
                  <w:divBdr>
                    <w:top w:val="none" w:sz="0" w:space="0" w:color="auto"/>
                    <w:left w:val="none" w:sz="0" w:space="0" w:color="auto"/>
                    <w:bottom w:val="none" w:sz="0" w:space="0" w:color="auto"/>
                    <w:right w:val="none" w:sz="0" w:space="0" w:color="auto"/>
                  </w:divBdr>
                  <w:divsChild>
                    <w:div w:id="13750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306">
              <w:marLeft w:val="0"/>
              <w:marRight w:val="0"/>
              <w:marTop w:val="0"/>
              <w:marBottom w:val="0"/>
              <w:divBdr>
                <w:top w:val="none" w:sz="0" w:space="0" w:color="auto"/>
                <w:left w:val="none" w:sz="0" w:space="0" w:color="auto"/>
                <w:bottom w:val="none" w:sz="0" w:space="0" w:color="auto"/>
                <w:right w:val="none" w:sz="0" w:space="0" w:color="auto"/>
              </w:divBdr>
              <w:divsChild>
                <w:div w:id="1049456678">
                  <w:marLeft w:val="0"/>
                  <w:marRight w:val="0"/>
                  <w:marTop w:val="0"/>
                  <w:marBottom w:val="0"/>
                  <w:divBdr>
                    <w:top w:val="none" w:sz="0" w:space="0" w:color="auto"/>
                    <w:left w:val="none" w:sz="0" w:space="0" w:color="auto"/>
                    <w:bottom w:val="none" w:sz="0" w:space="0" w:color="auto"/>
                    <w:right w:val="none" w:sz="0" w:space="0" w:color="auto"/>
                  </w:divBdr>
                  <w:divsChild>
                    <w:div w:id="18440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1480">
          <w:marLeft w:val="0"/>
          <w:marRight w:val="0"/>
          <w:marTop w:val="0"/>
          <w:marBottom w:val="240"/>
          <w:divBdr>
            <w:top w:val="none" w:sz="0" w:space="0" w:color="auto"/>
            <w:left w:val="none" w:sz="0" w:space="0" w:color="auto"/>
            <w:bottom w:val="none" w:sz="0" w:space="0" w:color="auto"/>
            <w:right w:val="none" w:sz="0" w:space="0" w:color="auto"/>
          </w:divBdr>
          <w:divsChild>
            <w:div w:id="2082630034">
              <w:marLeft w:val="0"/>
              <w:marRight w:val="0"/>
              <w:marTop w:val="0"/>
              <w:marBottom w:val="0"/>
              <w:divBdr>
                <w:top w:val="none" w:sz="0" w:space="0" w:color="auto"/>
                <w:left w:val="none" w:sz="0" w:space="0" w:color="auto"/>
                <w:bottom w:val="none" w:sz="0" w:space="0" w:color="auto"/>
                <w:right w:val="none" w:sz="0" w:space="0" w:color="auto"/>
              </w:divBdr>
            </w:div>
            <w:div w:id="1925608525">
              <w:marLeft w:val="0"/>
              <w:marRight w:val="0"/>
              <w:marTop w:val="0"/>
              <w:marBottom w:val="0"/>
              <w:divBdr>
                <w:top w:val="none" w:sz="0" w:space="0" w:color="auto"/>
                <w:left w:val="none" w:sz="0" w:space="0" w:color="auto"/>
                <w:bottom w:val="none" w:sz="0" w:space="0" w:color="auto"/>
                <w:right w:val="none" w:sz="0" w:space="0" w:color="auto"/>
              </w:divBdr>
              <w:divsChild>
                <w:div w:id="1300762718">
                  <w:marLeft w:val="0"/>
                  <w:marRight w:val="0"/>
                  <w:marTop w:val="0"/>
                  <w:marBottom w:val="0"/>
                  <w:divBdr>
                    <w:top w:val="none" w:sz="0" w:space="0" w:color="auto"/>
                    <w:left w:val="none" w:sz="0" w:space="0" w:color="auto"/>
                    <w:bottom w:val="none" w:sz="0" w:space="0" w:color="auto"/>
                    <w:right w:val="none" w:sz="0" w:space="0" w:color="auto"/>
                  </w:divBdr>
                  <w:divsChild>
                    <w:div w:id="1597715241">
                      <w:marLeft w:val="0"/>
                      <w:marRight w:val="0"/>
                      <w:marTop w:val="0"/>
                      <w:marBottom w:val="0"/>
                      <w:divBdr>
                        <w:top w:val="none" w:sz="0" w:space="0" w:color="auto"/>
                        <w:left w:val="none" w:sz="0" w:space="0" w:color="auto"/>
                        <w:bottom w:val="none" w:sz="0" w:space="0" w:color="auto"/>
                        <w:right w:val="none" w:sz="0" w:space="0" w:color="auto"/>
                      </w:divBdr>
                      <w:divsChild>
                        <w:div w:id="1283685602">
                          <w:marLeft w:val="0"/>
                          <w:marRight w:val="0"/>
                          <w:marTop w:val="0"/>
                          <w:marBottom w:val="0"/>
                          <w:divBdr>
                            <w:top w:val="none" w:sz="0" w:space="0" w:color="auto"/>
                            <w:left w:val="none" w:sz="0" w:space="0" w:color="auto"/>
                            <w:bottom w:val="none" w:sz="0" w:space="0" w:color="auto"/>
                            <w:right w:val="none" w:sz="0" w:space="0" w:color="auto"/>
                          </w:divBdr>
                          <w:divsChild>
                            <w:div w:id="572660076">
                              <w:marLeft w:val="0"/>
                              <w:marRight w:val="0"/>
                              <w:marTop w:val="0"/>
                              <w:marBottom w:val="0"/>
                              <w:divBdr>
                                <w:top w:val="none" w:sz="0" w:space="0" w:color="auto"/>
                                <w:left w:val="none" w:sz="0" w:space="0" w:color="auto"/>
                                <w:bottom w:val="none" w:sz="0" w:space="0" w:color="auto"/>
                                <w:right w:val="none" w:sz="0" w:space="0" w:color="auto"/>
                              </w:divBdr>
                              <w:divsChild>
                                <w:div w:id="4739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xuat-nhap-canh/luat-xuat-canh-nhap-canh-cua-cong-dan-viet-nam-2019-179056-d1.html" TargetMode="External"/><Relationship Id="rId3" Type="http://schemas.openxmlformats.org/officeDocument/2006/relationships/settings" Target="settings.xml"/><Relationship Id="rId7" Type="http://schemas.openxmlformats.org/officeDocument/2006/relationships/hyperlink" Target="https://luatvietnam.vn/thue/nghi-dinh-125-2020-xu-phat-vi-pham-hanh-chinh-ve-thue-hoa-don-192660-d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vietnam.vn/thue/luat-quan-ly-thue-2019-so-38-2019-qh14-moi-nhat-174969-d1.html" TargetMode="External"/><Relationship Id="rId5" Type="http://schemas.openxmlformats.org/officeDocument/2006/relationships/hyperlink" Target="https://luatvietnam.vn/thue/thong-tu-40-2021-tt-btc-huong-dan-thue-gtgt-thue-tncn-voi-ho-kinh-doanh-203539-d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2024-04-15T02:30:00Z</dcterms:created>
  <dcterms:modified xsi:type="dcterms:W3CDTF">2024-04-15T08:02:00Z</dcterms:modified>
</cp:coreProperties>
</file>