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9D" w:rsidRPr="0022469D" w:rsidRDefault="0022469D" w:rsidP="0022469D">
      <w:pPr>
        <w:pStyle w:val="Heading1"/>
        <w:spacing w:before="0" w:beforeAutospacing="0" w:after="0" w:afterAutospacing="0" w:line="570" w:lineRule="atLeast"/>
        <w:jc w:val="center"/>
        <w:textAlignment w:val="baseline"/>
        <w:rPr>
          <w:color w:val="000000"/>
          <w:sz w:val="40"/>
          <w:szCs w:val="40"/>
        </w:rPr>
      </w:pPr>
      <w:r w:rsidRPr="0022469D">
        <w:rPr>
          <w:color w:val="222222"/>
          <w:sz w:val="40"/>
          <w:szCs w:val="40"/>
        </w:rPr>
        <w:t>16 khoản thu nhập được miễn nộp thuế thu nhập cá nhân năm 2025</w:t>
      </w:r>
    </w:p>
    <w:p w:rsidR="0022469D" w:rsidRPr="0022469D" w:rsidRDefault="0022469D" w:rsidP="0022469D">
      <w:pPr>
        <w:pStyle w:val="NormalWeb"/>
        <w:spacing w:before="0" w:beforeAutospacing="0" w:after="120" w:afterAutospacing="0" w:line="360" w:lineRule="atLeast"/>
        <w:jc w:val="both"/>
        <w:textAlignment w:val="baseline"/>
        <w:rPr>
          <w:i/>
          <w:iCs/>
          <w:color w:val="222222"/>
          <w:sz w:val="26"/>
          <w:szCs w:val="26"/>
        </w:rPr>
      </w:pPr>
      <w:r w:rsidRPr="0022469D">
        <w:rPr>
          <w:color w:val="222222"/>
          <w:sz w:val="26"/>
          <w:szCs w:val="26"/>
        </w:rPr>
        <w:t>Theo quy định tại Điều 3 Thông tư 111/2013/TT-BTC (được sửa đổi bởi Thông tư 92/2015/TT-BTC), có 16 khoản thu nhập được miễn thuế thu nhập cá nhân, cụ thể:</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nhất</w:t>
      </w:r>
      <w:r w:rsidRPr="0022469D">
        <w:rPr>
          <w:color w:val="222222"/>
          <w:sz w:val="26"/>
          <w:szCs w:val="26"/>
        </w:rPr>
        <w:t xml:space="preserve">, thu nhập từ </w:t>
      </w:r>
      <w:bookmarkStart w:id="0" w:name="_GoBack"/>
      <w:bookmarkEnd w:id="0"/>
      <w:r w:rsidRPr="0022469D">
        <w:rPr>
          <w:color w:val="222222"/>
          <w:sz w:val="26"/>
          <w:szCs w:val="26"/>
        </w:rPr>
        <w:t>chuyển nhượng bất động sản giữa người thân trong gia đình hoặc tài sản chung của vợ chồng khi ly hôn.</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2</w:t>
      </w:r>
      <w:r w:rsidRPr="0022469D">
        <w:rPr>
          <w:color w:val="222222"/>
          <w:sz w:val="26"/>
          <w:szCs w:val="26"/>
        </w:rPr>
        <w:t>, thu nhập từ chuyển nhượng nhà ở, quyền sử dụng đất với trường hợp người chuyển nhượng chỉ có duy nhất một nhà ở, quyền sử dụng đất ở tại Việt Nam.</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3</w:t>
      </w:r>
      <w:r w:rsidRPr="0022469D">
        <w:rPr>
          <w:color w:val="222222"/>
          <w:sz w:val="26"/>
          <w:szCs w:val="26"/>
        </w:rPr>
        <w:t>, thu nhập từ giá trị quyền sử dụng đất của cá nhân được Nhà nước giao đất không phải trả tiền hoặc được giảm tiền sử dụng đất theo quy định của pháp luật.</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4</w:t>
      </w:r>
      <w:r w:rsidRPr="0022469D">
        <w:rPr>
          <w:color w:val="222222"/>
          <w:sz w:val="26"/>
          <w:szCs w:val="26"/>
        </w:rPr>
        <w:t>, thu nhập từ nhận thừa kế, quà tặng là bất động sản giữa người thân trong gia đình với nhau.</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5</w:t>
      </w:r>
      <w:r w:rsidRPr="0022469D">
        <w:rPr>
          <w:color w:val="222222"/>
          <w:sz w:val="26"/>
          <w:szCs w:val="26"/>
        </w:rPr>
        <w:t>, miễn thuế thu nhập cá nhân đối với thu nhập từ chuyển đổi đất nông nghiệp để hợp lý hóa sản xuất nông nghiệp nhưng không làm thay đổi mục đích sử dụng đất của hộ gia đình, cá nhân trực tiếp sản xuất nông nghiệp, được Nhà nước giao để sản xuất.</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6</w:t>
      </w:r>
      <w:r w:rsidRPr="0022469D">
        <w:rPr>
          <w:color w:val="222222"/>
          <w:sz w:val="26"/>
          <w:szCs w:val="26"/>
        </w:rPr>
        <w:t>, thu nhập của hộ gia đình, cá nhân trực tiếp tham gia vào hoạt động sản xuất nông nghiệp, lâm nghiệp, làm muối, nuôi trồng, đánh bắt thủy sản chưa qua chế biến hoặc chỉ qua sơ chế thông thường chưa chế biến thành sản phẩm khác.</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7</w:t>
      </w:r>
      <w:r w:rsidRPr="0022469D">
        <w:rPr>
          <w:color w:val="222222"/>
          <w:sz w:val="26"/>
          <w:szCs w:val="26"/>
        </w:rPr>
        <w:t>, thu nhập từ lãi tiền gửi tại tổ chức tín dụng, chi nhánh ngân hàng nước ngoài, lãi từ hợp đồng bảo hiểm nhân thọ; thu nhập từ lãi trái phiếu Chính phủ.</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Lãi tiền gửi được miễn thuế theo quy định tại điểm này là thu nhập cá nhân nhận được từ lãi gửi Đồng Việt Nam, vàng, ngoại tệ tại các tổ chức tín dụng, chi nhánh ngân hàng nước ngoài được thành lập và hoạt động theo quy định của Luật các tổ chức tín dụng dưới các hình thức gửi không kỳ hạn, có kỳ hạn, gửi tiết kiệm, chứng chỉ tiền gửi, kỳ phiếu, tín phiếu; </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Và các hình thức nhận tiền gửi khác theo nguyên tắc có hoàn trả đầy đủ tiền gốc, lãi cho người gửi theo thỏa thuận.</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Căn cứ để xác định thu nhập miễn thuế đối với thu nhập từ lãi tiền gửi là sổ tiết kiệm (hoặc thẻ tiết kiệm), chứng chỉ tiền gửi, kỳ phiếu, tín phiếu và các giấy tờ khác theo nguyên tắc có hoàn trả đầy đủ tiền gốc, lãi cho người gửi theo thỏa thuận.</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Lãi từ hợp đồng bảo hiểm nhân thọ là khoản lãi mà cá nhân nhận được theo hợp đồng mua bảo hiểm nhân thọ của các doanh nghiệp bảo hiểm.</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lastRenderedPageBreak/>
        <w:t>Căn cứ để xác định thu nhập miễn thuế đối với thu nhập từ lãi hợp đồng bảo hiểm nhân thọ là chứng từ trả tiền lãi từ hợp đồng bảo hiểm nhân thọ.</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Lãi trái phiếu Chính phủ là khoản lãi mà cá nhân nhận được từ việc mua trái phiếu Chính phủ do Bộ Tài chính phát hành.</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Căn cứ để xác định thu nhập miễn thuế đối với thu nhập từ lãi trái phiếu Chính phủ là mệnh giá, lãi suất và kỳ hạn trên trái phiếu Chính Phủ.</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Emphasis"/>
          <w:b/>
          <w:bCs/>
          <w:color w:val="555555"/>
          <w:sz w:val="26"/>
          <w:szCs w:val="26"/>
          <w:bdr w:val="none" w:sz="0" w:space="0" w:color="auto" w:frame="1"/>
        </w:rPr>
        <w:t>Thứ 8,</w:t>
      </w:r>
      <w:r w:rsidRPr="0022469D">
        <w:rPr>
          <w:color w:val="222222"/>
          <w:sz w:val="26"/>
          <w:szCs w:val="26"/>
        </w:rPr>
        <w:t> thu nhập từ kiều hối được miễn thuế là khoản tiền cá nhân nhận được từ nước ngoài do thân nhân là người Việt Nam định cư ở nước ngoài, người Việt Nam đi lao động, công tác, học tập tại nước ngoài gửi tiền về cho thân nhân ở trong nước;</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Trường hợp cá nhân nhận được tiền từ nước ngoài do thân nhân là người nước ngoài gửi về đáp ứng điều kiện về khuyến khích chuyển tiền về nước theo quy định của Ngân hàng nhà nước Việt Nam thì cũng được miễn thuế.</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Căn cứ xác định thu nhập được miễn thuế tại điểm này là các giấy tờ chứng minh nguồn tiền nhận từ nước ngoài và chứng từ chi tiền của tổ chức trả hộ (nếu có).</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9</w:t>
      </w:r>
      <w:r w:rsidRPr="0022469D">
        <w:rPr>
          <w:color w:val="222222"/>
          <w:sz w:val="26"/>
          <w:szCs w:val="26"/>
        </w:rPr>
        <w:t>, thu nhập từ phần tiền lương, tiền công làm việc ban đêm, làm thêm giờ được trả cao hơn so với tiền lương, tiền công làm việc ban ngày, làm việc trong giờ theo quy định của Bộ luật Lao động.</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Tổ chức, cá nhân trả thu nhập phải lập bảng kê phản ánh rõ thời gian làm đêm, làm thêm giờ, khoản tiền lương trả thêm do làm đêm, làm thêm giờ đã trả cho người lao động. Bảng kê này được lưu tại đơn vị trả thu nhập và xuất trình khi có yêu cầu của cơ quan thuế.</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10</w:t>
      </w:r>
      <w:r w:rsidRPr="0022469D">
        <w:rPr>
          <w:color w:val="222222"/>
          <w:sz w:val="26"/>
          <w:szCs w:val="26"/>
        </w:rPr>
        <w:t>, tiền lương hưu do Quỹ BHXH trả theo quy định của Luật BHXH; tiền lương hưu nhận được hàng tháng từ Quỹ hưu trí tự nguyện.</w:t>
      </w:r>
    </w:p>
    <w:p w:rsidR="0022469D" w:rsidRPr="0022469D" w:rsidRDefault="0022469D" w:rsidP="0022469D">
      <w:pPr>
        <w:pStyle w:val="NormalWeb"/>
        <w:spacing w:before="0" w:beforeAutospacing="0" w:after="120" w:afterAutospacing="0" w:line="360" w:lineRule="atLeast"/>
        <w:jc w:val="both"/>
        <w:textAlignment w:val="baseline"/>
        <w:rPr>
          <w:i/>
          <w:iCs/>
          <w:color w:val="222222"/>
          <w:sz w:val="26"/>
          <w:szCs w:val="26"/>
        </w:rPr>
      </w:pPr>
      <w:r w:rsidRPr="0022469D">
        <w:rPr>
          <w:color w:val="222222"/>
          <w:sz w:val="26"/>
          <w:szCs w:val="26"/>
        </w:rPr>
        <w:t>Cá nhân sinh sống, làm việc tại Việt Nam được miễn thuế đối với tiền lương hưu được trả từ nước ngoài.</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11</w:t>
      </w:r>
      <w:r w:rsidRPr="0022469D">
        <w:rPr>
          <w:color w:val="222222"/>
          <w:sz w:val="26"/>
          <w:szCs w:val="26"/>
        </w:rPr>
        <w:t>, thu nhập từ học bổng, bao gồm học bổng nhận được từ ngân sách Nhà nước; Học bổng nhận được từ tổ chức trong nước và ngoài nước (bao gồm cả khoản tiền sinh hoạt phí) theo chương trình hỗ trợ khuyến học của tổ chức đó.</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Tổ chức trả học bổng cho cá nhân nêu tại điểm này phải lưu giữ các quyết định cấp học bổng và các chứng từ trả học bổng. Trường hợp cá nhân nhận học bổng trực tiếp từ các tổ chức nước ngoài thì cá nhân nhận thu nhập phải lưu giữ tài liệu, chứng từ chứng minh thu nhập nhận được là học bổng do các tổ chức ngoài nước cấp.</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lastRenderedPageBreak/>
        <w:t>Thứ 12</w:t>
      </w:r>
      <w:r w:rsidRPr="0022469D">
        <w:rPr>
          <w:color w:val="222222"/>
          <w:sz w:val="26"/>
          <w:szCs w:val="26"/>
        </w:rPr>
        <w:t>, thu nhập từ bồi thường hợp đồng bảo hiểm nhân thọ, phi nhân thọ, bảo hiểm sức khỏe; tiền bồi thường tai nạn lao động; tiền bồi thường, hỗ trợ theo quy định của pháp luật về bồi thường, hỗ trợ, tái định cư; các khoản bồi thường Nhà nước và các khoản bồi thường khác theo quy định của pháp luật.</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13</w:t>
      </w:r>
      <w:r w:rsidRPr="0022469D">
        <w:rPr>
          <w:color w:val="222222"/>
          <w:sz w:val="26"/>
          <w:szCs w:val="26"/>
        </w:rPr>
        <w:t>, thu nhập nhận được từ các quỹ từ thiện được cơ quan Nhà nước có thẩm quyền cho phép thành lập hoặc công nhận, hoạt động vì mục đích từ thiện, nhân đạo, khuyến học không nhằm mục đích thu lợi nhuận.</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Quỹ từ thiện là quỹ từ thiện được thành lập và hoạt động theo quy định tại Nghị định 30/2012/NĐ-CP về tổ chức, hoạt động của quỹ xã hội, quỹ từ thiện.</w:t>
      </w:r>
    </w:p>
    <w:p w:rsidR="0022469D" w:rsidRPr="0022469D" w:rsidRDefault="0022469D" w:rsidP="0022469D">
      <w:pPr>
        <w:pStyle w:val="NormalWeb"/>
        <w:spacing w:before="0" w:beforeAutospacing="0" w:after="120" w:afterAutospacing="0" w:line="360" w:lineRule="atLeast"/>
        <w:jc w:val="both"/>
        <w:textAlignment w:val="baseline"/>
        <w:rPr>
          <w:color w:val="222222"/>
          <w:sz w:val="26"/>
          <w:szCs w:val="26"/>
        </w:rPr>
      </w:pPr>
      <w:r w:rsidRPr="0022469D">
        <w:rPr>
          <w:color w:val="222222"/>
          <w:sz w:val="26"/>
          <w:szCs w:val="26"/>
        </w:rPr>
        <w:t>Căn cứ xác định thu nhập nhận được từ các quỹ từ thiện được miễn thuế tại điểm này là văn bản hoặc quyết định trao khoản thu nhập của quỹ từ thiện và chứng từ chi tiền, hiện vật từ quỹ từ thiện.</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14</w:t>
      </w:r>
      <w:r w:rsidRPr="0022469D">
        <w:rPr>
          <w:color w:val="222222"/>
          <w:sz w:val="26"/>
          <w:szCs w:val="26"/>
        </w:rPr>
        <w:t>, thu nhập nhận được từ các nguồn viện trợ của nước ngoài vì mục đích từ thiện, nhân đạo dưới hình thức Chính phủ và phi Chính phủ được cơ quan Nhà nước có thẩm quyền phê duyệt.</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15</w:t>
      </w:r>
      <w:r w:rsidRPr="0022469D">
        <w:rPr>
          <w:color w:val="222222"/>
          <w:sz w:val="26"/>
          <w:szCs w:val="26"/>
        </w:rPr>
        <w:t>, thu nhập từ tiền lương, tiền công của thuyền viên là người Việt Nam nhận được do làm việc cho các hãng tàu nước ngoài hoặc các hãng tàu Việt Nam vận tải quốc tế.</w:t>
      </w:r>
    </w:p>
    <w:p w:rsidR="0022469D" w:rsidRPr="0022469D" w:rsidRDefault="0022469D" w:rsidP="0022469D">
      <w:pPr>
        <w:pStyle w:val="NormalWeb"/>
        <w:spacing w:before="0" w:beforeAutospacing="0" w:after="0" w:afterAutospacing="0" w:line="360" w:lineRule="atLeast"/>
        <w:jc w:val="both"/>
        <w:textAlignment w:val="baseline"/>
        <w:rPr>
          <w:color w:val="222222"/>
          <w:sz w:val="26"/>
          <w:szCs w:val="26"/>
        </w:rPr>
      </w:pPr>
      <w:r w:rsidRPr="0022469D">
        <w:rPr>
          <w:rStyle w:val="Strong"/>
          <w:color w:val="555555"/>
          <w:sz w:val="26"/>
          <w:szCs w:val="26"/>
          <w:bdr w:val="none" w:sz="0" w:space="0" w:color="auto" w:frame="1"/>
        </w:rPr>
        <w:t>Thứ 16</w:t>
      </w:r>
      <w:r w:rsidRPr="0022469D">
        <w:rPr>
          <w:color w:val="222222"/>
          <w:sz w:val="26"/>
          <w:szCs w:val="26"/>
        </w:rPr>
        <w:t>, thu nhập của cá nhân là chủ tàu, cá nhân có quyền sử dụng tàu và cá nhân làm việc trên tàu có được từ hoạt động cung cấp hàng hóa, dịch vụ trực tiếp phục vụ hoạt động khai thác thủy sản xa bờ.</w:t>
      </w:r>
    </w:p>
    <w:sectPr w:rsidR="0022469D" w:rsidRPr="00224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BE5"/>
    <w:multiLevelType w:val="multilevel"/>
    <w:tmpl w:val="34A8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9D"/>
    <w:rsid w:val="0022469D"/>
    <w:rsid w:val="00C4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4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4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246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6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469D"/>
    <w:rPr>
      <w:rFonts w:ascii="Times New Roman" w:eastAsia="Times New Roman" w:hAnsi="Times New Roman" w:cs="Times New Roman"/>
      <w:b/>
      <w:bCs/>
      <w:sz w:val="36"/>
      <w:szCs w:val="36"/>
    </w:rPr>
  </w:style>
  <w:style w:type="paragraph" w:styleId="NormalWeb">
    <w:name w:val="Normal (Web)"/>
    <w:basedOn w:val="Normal"/>
    <w:uiPriority w:val="99"/>
    <w:unhideWhenUsed/>
    <w:rsid w:val="00224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69D"/>
    <w:rPr>
      <w:b/>
      <w:bCs/>
    </w:rPr>
  </w:style>
  <w:style w:type="character" w:customStyle="1" w:styleId="Heading3Char">
    <w:name w:val="Heading 3 Char"/>
    <w:basedOn w:val="DefaultParagraphFont"/>
    <w:link w:val="Heading3"/>
    <w:uiPriority w:val="9"/>
    <w:semiHidden/>
    <w:rsid w:val="0022469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2469D"/>
    <w:rPr>
      <w:color w:val="0000FF"/>
      <w:u w:val="single"/>
    </w:rPr>
  </w:style>
  <w:style w:type="character" w:styleId="Emphasis">
    <w:name w:val="Emphasis"/>
    <w:basedOn w:val="DefaultParagraphFont"/>
    <w:uiPriority w:val="20"/>
    <w:qFormat/>
    <w:rsid w:val="0022469D"/>
    <w:rPr>
      <w:i/>
      <w:iCs/>
    </w:rPr>
  </w:style>
  <w:style w:type="character" w:customStyle="1" w:styleId="close-social">
    <w:name w:val="close-social"/>
    <w:basedOn w:val="DefaultParagraphFont"/>
    <w:rsid w:val="0022469D"/>
  </w:style>
  <w:style w:type="character" w:customStyle="1" w:styleId="txtsocial">
    <w:name w:val="txt_social"/>
    <w:basedOn w:val="DefaultParagraphFont"/>
    <w:rsid w:val="0022469D"/>
  </w:style>
  <w:style w:type="character" w:customStyle="1" w:styleId="d-flex">
    <w:name w:val="d-flex"/>
    <w:basedOn w:val="DefaultParagraphFont"/>
    <w:rsid w:val="00224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4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4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246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6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469D"/>
    <w:rPr>
      <w:rFonts w:ascii="Times New Roman" w:eastAsia="Times New Roman" w:hAnsi="Times New Roman" w:cs="Times New Roman"/>
      <w:b/>
      <w:bCs/>
      <w:sz w:val="36"/>
      <w:szCs w:val="36"/>
    </w:rPr>
  </w:style>
  <w:style w:type="paragraph" w:styleId="NormalWeb">
    <w:name w:val="Normal (Web)"/>
    <w:basedOn w:val="Normal"/>
    <w:uiPriority w:val="99"/>
    <w:unhideWhenUsed/>
    <w:rsid w:val="00224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69D"/>
    <w:rPr>
      <w:b/>
      <w:bCs/>
    </w:rPr>
  </w:style>
  <w:style w:type="character" w:customStyle="1" w:styleId="Heading3Char">
    <w:name w:val="Heading 3 Char"/>
    <w:basedOn w:val="DefaultParagraphFont"/>
    <w:link w:val="Heading3"/>
    <w:uiPriority w:val="9"/>
    <w:semiHidden/>
    <w:rsid w:val="0022469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2469D"/>
    <w:rPr>
      <w:color w:val="0000FF"/>
      <w:u w:val="single"/>
    </w:rPr>
  </w:style>
  <w:style w:type="character" w:styleId="Emphasis">
    <w:name w:val="Emphasis"/>
    <w:basedOn w:val="DefaultParagraphFont"/>
    <w:uiPriority w:val="20"/>
    <w:qFormat/>
    <w:rsid w:val="0022469D"/>
    <w:rPr>
      <w:i/>
      <w:iCs/>
    </w:rPr>
  </w:style>
  <w:style w:type="character" w:customStyle="1" w:styleId="close-social">
    <w:name w:val="close-social"/>
    <w:basedOn w:val="DefaultParagraphFont"/>
    <w:rsid w:val="0022469D"/>
  </w:style>
  <w:style w:type="character" w:customStyle="1" w:styleId="txtsocial">
    <w:name w:val="txt_social"/>
    <w:basedOn w:val="DefaultParagraphFont"/>
    <w:rsid w:val="0022469D"/>
  </w:style>
  <w:style w:type="character" w:customStyle="1" w:styleId="d-flex">
    <w:name w:val="d-flex"/>
    <w:basedOn w:val="DefaultParagraphFont"/>
    <w:rsid w:val="0022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517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786">
          <w:marLeft w:val="0"/>
          <w:marRight w:val="0"/>
          <w:marTop w:val="0"/>
          <w:marBottom w:val="450"/>
          <w:divBdr>
            <w:top w:val="single" w:sz="6" w:space="12" w:color="E6E6E6"/>
            <w:left w:val="none" w:sz="0" w:space="0" w:color="auto"/>
            <w:bottom w:val="none" w:sz="0" w:space="0" w:color="auto"/>
            <w:right w:val="none" w:sz="0" w:space="0" w:color="auto"/>
          </w:divBdr>
          <w:divsChild>
            <w:div w:id="1415779766">
              <w:marLeft w:val="0"/>
              <w:marRight w:val="0"/>
              <w:marTop w:val="0"/>
              <w:marBottom w:val="0"/>
              <w:divBdr>
                <w:top w:val="none" w:sz="0" w:space="0" w:color="auto"/>
                <w:left w:val="none" w:sz="0" w:space="0" w:color="auto"/>
                <w:bottom w:val="none" w:sz="0" w:space="0" w:color="auto"/>
                <w:right w:val="none" w:sz="0" w:space="0" w:color="auto"/>
              </w:divBdr>
              <w:divsChild>
                <w:div w:id="9083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4308">
          <w:marLeft w:val="0"/>
          <w:marRight w:val="0"/>
          <w:marTop w:val="0"/>
          <w:marBottom w:val="0"/>
          <w:divBdr>
            <w:top w:val="none" w:sz="0" w:space="0" w:color="auto"/>
            <w:left w:val="none" w:sz="0" w:space="0" w:color="auto"/>
            <w:bottom w:val="none" w:sz="0" w:space="0" w:color="auto"/>
            <w:right w:val="none" w:sz="0" w:space="0" w:color="auto"/>
          </w:divBdr>
        </w:div>
      </w:divsChild>
    </w:div>
    <w:div w:id="1305698580">
      <w:bodyDiv w:val="1"/>
      <w:marLeft w:val="0"/>
      <w:marRight w:val="0"/>
      <w:marTop w:val="0"/>
      <w:marBottom w:val="0"/>
      <w:divBdr>
        <w:top w:val="none" w:sz="0" w:space="0" w:color="auto"/>
        <w:left w:val="none" w:sz="0" w:space="0" w:color="auto"/>
        <w:bottom w:val="none" w:sz="0" w:space="0" w:color="auto"/>
        <w:right w:val="none" w:sz="0" w:space="0" w:color="auto"/>
      </w:divBdr>
      <w:divsChild>
        <w:div w:id="190191950">
          <w:marLeft w:val="0"/>
          <w:marRight w:val="0"/>
          <w:marTop w:val="0"/>
          <w:marBottom w:val="0"/>
          <w:divBdr>
            <w:top w:val="none" w:sz="0" w:space="0" w:color="auto"/>
            <w:left w:val="none" w:sz="0" w:space="0" w:color="auto"/>
            <w:bottom w:val="none" w:sz="0" w:space="0" w:color="auto"/>
            <w:right w:val="none" w:sz="0" w:space="0" w:color="auto"/>
          </w:divBdr>
        </w:div>
        <w:div w:id="1406147406">
          <w:marLeft w:val="0"/>
          <w:marRight w:val="0"/>
          <w:marTop w:val="195"/>
          <w:marBottom w:val="300"/>
          <w:divBdr>
            <w:top w:val="none" w:sz="0" w:space="0" w:color="auto"/>
            <w:left w:val="none" w:sz="0" w:space="0" w:color="auto"/>
            <w:bottom w:val="none" w:sz="0" w:space="0" w:color="auto"/>
            <w:right w:val="none" w:sz="0" w:space="0" w:color="auto"/>
          </w:divBdr>
        </w:div>
        <w:div w:id="110665885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
            <w:div w:id="1512137917">
              <w:marLeft w:val="0"/>
              <w:marRight w:val="0"/>
              <w:marTop w:val="225"/>
              <w:marBottom w:val="225"/>
              <w:divBdr>
                <w:top w:val="none" w:sz="0" w:space="0" w:color="auto"/>
                <w:left w:val="none" w:sz="0" w:space="0" w:color="auto"/>
                <w:bottom w:val="none" w:sz="0" w:space="0" w:color="auto"/>
                <w:right w:val="none" w:sz="0" w:space="0" w:color="auto"/>
              </w:divBdr>
              <w:divsChild>
                <w:div w:id="844830766">
                  <w:marLeft w:val="0"/>
                  <w:marRight w:val="0"/>
                  <w:marTop w:val="0"/>
                  <w:marBottom w:val="0"/>
                  <w:divBdr>
                    <w:top w:val="none" w:sz="0" w:space="0" w:color="auto"/>
                    <w:left w:val="none" w:sz="0" w:space="0" w:color="auto"/>
                    <w:bottom w:val="none" w:sz="0" w:space="0" w:color="auto"/>
                    <w:right w:val="none" w:sz="0" w:space="0" w:color="auto"/>
                  </w:divBdr>
                  <w:divsChild>
                    <w:div w:id="727845706">
                      <w:marLeft w:val="0"/>
                      <w:marRight w:val="0"/>
                      <w:marTop w:val="0"/>
                      <w:marBottom w:val="0"/>
                      <w:divBdr>
                        <w:top w:val="none" w:sz="0" w:space="0" w:color="auto"/>
                        <w:left w:val="none" w:sz="0" w:space="0" w:color="auto"/>
                        <w:bottom w:val="none" w:sz="0" w:space="0" w:color="auto"/>
                        <w:right w:val="none" w:sz="0" w:space="0" w:color="auto"/>
                      </w:divBdr>
                      <w:divsChild>
                        <w:div w:id="1055664726">
                          <w:marLeft w:val="0"/>
                          <w:marRight w:val="0"/>
                          <w:marTop w:val="0"/>
                          <w:marBottom w:val="300"/>
                          <w:divBdr>
                            <w:top w:val="none" w:sz="0" w:space="0" w:color="auto"/>
                            <w:left w:val="none" w:sz="0" w:space="0" w:color="auto"/>
                            <w:bottom w:val="none" w:sz="0" w:space="0" w:color="auto"/>
                            <w:right w:val="none" w:sz="0" w:space="0" w:color="auto"/>
                          </w:divBdr>
                        </w:div>
                        <w:div w:id="9926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064">
                  <w:marLeft w:val="0"/>
                  <w:marRight w:val="0"/>
                  <w:marTop w:val="0"/>
                  <w:marBottom w:val="0"/>
                  <w:divBdr>
                    <w:top w:val="none" w:sz="0" w:space="0" w:color="auto"/>
                    <w:left w:val="none" w:sz="0" w:space="0" w:color="auto"/>
                    <w:bottom w:val="none" w:sz="0" w:space="0" w:color="auto"/>
                    <w:right w:val="none" w:sz="0" w:space="0" w:color="auto"/>
                  </w:divBdr>
                  <w:divsChild>
                    <w:div w:id="9759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2025-03-16T23:24:00Z</dcterms:created>
  <dcterms:modified xsi:type="dcterms:W3CDTF">2025-03-16T23:33:00Z</dcterms:modified>
</cp:coreProperties>
</file>