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7799" w:rsidRPr="00BF44EB" w:rsidRDefault="00B11154" w:rsidP="00527799">
      <w:pPr>
        <w:spacing w:after="0" w:line="240" w:lineRule="auto"/>
        <w:jc w:val="center"/>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TÌM HIỂU VỀ CÁC CHỈ SỐ PHÂN PHỐI LỢI NHUẬN TRONG </w:t>
      </w:r>
    </w:p>
    <w:p w:rsidR="00314C8D" w:rsidRPr="00BF44EB" w:rsidRDefault="00B11154" w:rsidP="00527799">
      <w:pPr>
        <w:spacing w:after="0" w:line="240" w:lineRule="auto"/>
        <w:jc w:val="center"/>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DOANH NGHIỆP</w:t>
      </w:r>
    </w:p>
    <w:p w:rsidR="00B11154" w:rsidRPr="00BF44EB" w:rsidRDefault="00B11154" w:rsidP="00527799">
      <w:pPr>
        <w:spacing w:after="0" w:line="240" w:lineRule="auto"/>
        <w:jc w:val="center"/>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ThS Đinh Thị Thu Hiền</w:t>
      </w:r>
    </w:p>
    <w:p w:rsidR="00B11154" w:rsidRPr="00BF44EB" w:rsidRDefault="00B11154" w:rsidP="00527799">
      <w:pPr>
        <w:spacing w:after="0" w:line="240" w:lineRule="auto"/>
        <w:jc w:val="both"/>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1. Chỉ số phân phối lợi nhuận </w:t>
      </w:r>
    </w:p>
    <w:p w:rsidR="00B11154" w:rsidRPr="00BF44EB" w:rsidRDefault="00B11154" w:rsidP="00527799">
      <w:p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kern w:val="0"/>
          <w:sz w:val="26"/>
          <w:szCs w:val="26"/>
          <w14:ligatures w14:val="none"/>
        </w:rPr>
        <w:t>Chỉ số phân phối lợi nhuận là tập hợp các thước đo tài chính phản ánh cách thức doanh nghiệp phân chia lợi nhuận sau thuế cho các đối tượng liên quan (cổ đông, quỹ dự phòng, tái đầu tư...).</w:t>
      </w:r>
      <w:r w:rsidRPr="00BF44EB">
        <w:rPr>
          <w:rFonts w:ascii="Times New Roman" w:eastAsia="Times New Roman" w:hAnsi="Times New Roman" w:cs="Times New Roman"/>
          <w:kern w:val="0"/>
          <w:sz w:val="26"/>
          <w:szCs w:val="26"/>
          <w14:ligatures w14:val="none"/>
        </w:rPr>
        <w:t xml:space="preserve"> </w:t>
      </w:r>
      <w:r w:rsidR="00314C8D" w:rsidRPr="00BF44EB">
        <w:rPr>
          <w:rFonts w:ascii="Times New Roman" w:eastAsia="Times New Roman" w:hAnsi="Times New Roman" w:cs="Times New Roman"/>
          <w:kern w:val="0"/>
          <w:sz w:val="26"/>
          <w:szCs w:val="26"/>
          <w14:ligatures w14:val="none"/>
        </w:rPr>
        <w:t xml:space="preserve">Các chỉ số này cho thấy </w:t>
      </w:r>
      <w:r w:rsidR="00314C8D" w:rsidRPr="00BF44EB">
        <w:rPr>
          <w:rFonts w:ascii="Times New Roman" w:eastAsia="Times New Roman" w:hAnsi="Times New Roman" w:cs="Times New Roman"/>
          <w:b/>
          <w:bCs/>
          <w:kern w:val="0"/>
          <w:sz w:val="26"/>
          <w:szCs w:val="26"/>
          <w14:ligatures w14:val="none"/>
        </w:rPr>
        <w:t>chính sách cổ tức</w:t>
      </w:r>
      <w:r w:rsidR="00314C8D" w:rsidRPr="00BF44EB">
        <w:rPr>
          <w:rFonts w:ascii="Times New Roman" w:eastAsia="Times New Roman" w:hAnsi="Times New Roman" w:cs="Times New Roman"/>
          <w:kern w:val="0"/>
          <w:sz w:val="26"/>
          <w:szCs w:val="26"/>
          <w14:ligatures w14:val="none"/>
        </w:rPr>
        <w:t>, mức độ giữ lại lợi nhuận để phát triển, và khả năng mang lại giá trị cho cổ đông.</w:t>
      </w:r>
    </w:p>
    <w:p w:rsidR="00B11154" w:rsidRPr="00B11154" w:rsidRDefault="00B11154" w:rsidP="00527799">
      <w:pPr>
        <w:spacing w:after="0" w:line="240" w:lineRule="auto"/>
        <w:jc w:val="both"/>
        <w:rPr>
          <w:rFonts w:ascii="Times New Roman" w:eastAsia="Times New Roman" w:hAnsi="Times New Roman" w:cs="Times New Roman"/>
          <w:kern w:val="0"/>
          <w:sz w:val="26"/>
          <w:szCs w:val="26"/>
          <w14:ligatures w14:val="none"/>
        </w:rPr>
      </w:pPr>
      <w:r w:rsidRPr="00B11154">
        <w:rPr>
          <w:rFonts w:ascii="Times New Roman" w:eastAsia="Times New Roman" w:hAnsi="Times New Roman" w:cs="Times New Roman"/>
          <w:b/>
          <w:bCs/>
          <w:kern w:val="0"/>
          <w:sz w:val="26"/>
          <w:szCs w:val="26"/>
          <w14:ligatures w14:val="none"/>
        </w:rPr>
        <w:t>Ý nghĩa đối với doanh nghiệp và cổ đông</w:t>
      </w:r>
    </w:p>
    <w:p w:rsidR="00B11154" w:rsidRPr="00B11154" w:rsidRDefault="00B11154" w:rsidP="00527799">
      <w:pPr>
        <w:spacing w:after="0" w:line="240" w:lineRule="auto"/>
        <w:jc w:val="both"/>
        <w:rPr>
          <w:rFonts w:ascii="Times New Roman" w:eastAsia="Times New Roman" w:hAnsi="Times New Roman" w:cs="Times New Roman"/>
          <w:kern w:val="0"/>
          <w:sz w:val="26"/>
          <w:szCs w:val="26"/>
          <w14:ligatures w14:val="none"/>
        </w:rPr>
      </w:pPr>
      <w:r w:rsidRPr="00B11154">
        <w:rPr>
          <w:rFonts w:ascii="Times New Roman" w:eastAsia="Times New Roman" w:hAnsi="Times New Roman" w:cs="Times New Roman"/>
          <w:b/>
          <w:bCs/>
          <w:i/>
          <w:iCs/>
          <w:kern w:val="0"/>
          <w:sz w:val="26"/>
          <w:szCs w:val="26"/>
          <w14:ligatures w14:val="none"/>
        </w:rPr>
        <w:t>Với doanh nghiệp</w:t>
      </w:r>
      <w:r w:rsidRPr="00B11154">
        <w:rPr>
          <w:rFonts w:ascii="Times New Roman" w:eastAsia="Times New Roman" w:hAnsi="Times New Roman" w:cs="Times New Roman"/>
          <w:i/>
          <w:iCs/>
          <w:kern w:val="0"/>
          <w:sz w:val="26"/>
          <w:szCs w:val="26"/>
          <w14:ligatures w14:val="none"/>
        </w:rPr>
        <w:t>:</w:t>
      </w:r>
      <w:r w:rsidRPr="00B11154">
        <w:rPr>
          <w:rFonts w:ascii="Times New Roman" w:eastAsia="Times New Roman" w:hAnsi="Times New Roman" w:cs="Times New Roman"/>
          <w:kern w:val="0"/>
          <w:sz w:val="26"/>
          <w:szCs w:val="26"/>
          <w14:ligatures w14:val="none"/>
        </w:rPr>
        <w:t xml:space="preserve"> Các chỉ số giúp cân bằng giữa lợi ích cổ đông ngắn hạn (cổ tức) và mục tiêu dài hạn (tái đầu tư phát triển).</w:t>
      </w:r>
    </w:p>
    <w:p w:rsidR="00B11154" w:rsidRPr="00B11154" w:rsidRDefault="00B11154" w:rsidP="00527799">
      <w:pPr>
        <w:spacing w:after="0" w:line="240" w:lineRule="auto"/>
        <w:jc w:val="both"/>
        <w:rPr>
          <w:rFonts w:ascii="Times New Roman" w:eastAsia="Times New Roman" w:hAnsi="Times New Roman" w:cs="Times New Roman"/>
          <w:kern w:val="0"/>
          <w:sz w:val="26"/>
          <w:szCs w:val="26"/>
          <w14:ligatures w14:val="none"/>
        </w:rPr>
      </w:pPr>
      <w:r w:rsidRPr="00B11154">
        <w:rPr>
          <w:rFonts w:ascii="Times New Roman" w:eastAsia="Times New Roman" w:hAnsi="Times New Roman" w:cs="Times New Roman"/>
          <w:b/>
          <w:bCs/>
          <w:i/>
          <w:iCs/>
          <w:kern w:val="0"/>
          <w:sz w:val="26"/>
          <w:szCs w:val="26"/>
          <w14:ligatures w14:val="none"/>
        </w:rPr>
        <w:t>Với cổ đông/nhà đầu tư</w:t>
      </w:r>
      <w:r w:rsidRPr="00B11154">
        <w:rPr>
          <w:rFonts w:ascii="Times New Roman" w:eastAsia="Times New Roman" w:hAnsi="Times New Roman" w:cs="Times New Roman"/>
          <w:i/>
          <w:iCs/>
          <w:kern w:val="0"/>
          <w:sz w:val="26"/>
          <w:szCs w:val="26"/>
          <w14:ligatures w14:val="none"/>
        </w:rPr>
        <w:t>:</w:t>
      </w:r>
      <w:r w:rsidRPr="00B11154">
        <w:rPr>
          <w:rFonts w:ascii="Times New Roman" w:eastAsia="Times New Roman" w:hAnsi="Times New Roman" w:cs="Times New Roman"/>
          <w:kern w:val="0"/>
          <w:sz w:val="26"/>
          <w:szCs w:val="26"/>
          <w14:ligatures w14:val="none"/>
        </w:rPr>
        <w:t xml:space="preserve"> Giúp đánh giá chính sách cổ tức, mức độ rủi ro, hiệu quả sinh lời thực tế của khoản đầu tư.</w:t>
      </w:r>
    </w:p>
    <w:p w:rsidR="00B11154" w:rsidRPr="00B11154" w:rsidRDefault="00B11154" w:rsidP="00527799">
      <w:pPr>
        <w:spacing w:after="0" w:line="240" w:lineRule="auto"/>
        <w:jc w:val="both"/>
        <w:rPr>
          <w:rFonts w:ascii="Times New Roman" w:eastAsia="Times New Roman" w:hAnsi="Times New Roman" w:cs="Times New Roman"/>
          <w:kern w:val="0"/>
          <w:sz w:val="26"/>
          <w:szCs w:val="26"/>
          <w14:ligatures w14:val="none"/>
        </w:rPr>
      </w:pPr>
      <w:r w:rsidRPr="00B11154">
        <w:rPr>
          <w:rFonts w:ascii="Times New Roman" w:eastAsia="Times New Roman" w:hAnsi="Times New Roman" w:cs="Times New Roman"/>
          <w:b/>
          <w:bCs/>
          <w:i/>
          <w:iCs/>
          <w:kern w:val="0"/>
          <w:sz w:val="26"/>
          <w:szCs w:val="26"/>
          <w14:ligatures w14:val="none"/>
        </w:rPr>
        <w:t>Với thị trường</w:t>
      </w:r>
      <w:r w:rsidRPr="00B11154">
        <w:rPr>
          <w:rFonts w:ascii="Times New Roman" w:eastAsia="Times New Roman" w:hAnsi="Times New Roman" w:cs="Times New Roman"/>
          <w:i/>
          <w:iCs/>
          <w:kern w:val="0"/>
          <w:sz w:val="26"/>
          <w:szCs w:val="26"/>
          <w14:ligatures w14:val="none"/>
        </w:rPr>
        <w:t>:</w:t>
      </w:r>
      <w:r w:rsidRPr="00B11154">
        <w:rPr>
          <w:rFonts w:ascii="Times New Roman" w:eastAsia="Times New Roman" w:hAnsi="Times New Roman" w:cs="Times New Roman"/>
          <w:kern w:val="0"/>
          <w:sz w:val="26"/>
          <w:szCs w:val="26"/>
          <w14:ligatures w14:val="none"/>
        </w:rPr>
        <w:t xml:space="preserve"> Chính sách phân phối lợi nhuận ổn định tạo lòng tin, ảnh hưởng tới giá cổ phiếu.</w:t>
      </w:r>
    </w:p>
    <w:p w:rsidR="00BF44EB" w:rsidRPr="00BF44EB" w:rsidRDefault="00314C8D" w:rsidP="00BF44EB">
      <w:pPr>
        <w:spacing w:after="0" w:line="240" w:lineRule="auto"/>
        <w:jc w:val="both"/>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2. Quy trình phân phối lợi nhuận của doanh nghiệp</w:t>
      </w:r>
    </w:p>
    <w:p w:rsidR="00BF44EB" w:rsidRPr="00BF44EB" w:rsidRDefault="00BF44EB" w:rsidP="00BF44EB">
      <w:pPr>
        <w:spacing w:after="0" w:line="240" w:lineRule="auto"/>
        <w:jc w:val="both"/>
        <w:outlineLvl w:val="1"/>
        <w:rPr>
          <w:rFonts w:ascii="Times New Roman" w:eastAsia="Times New Roman" w:hAnsi="Times New Roman" w:cs="Times New Roman"/>
          <w:b/>
          <w:bCs/>
          <w:kern w:val="0"/>
          <w:sz w:val="26"/>
          <w:szCs w:val="26"/>
          <w14:ligatures w14:val="none"/>
        </w:rPr>
      </w:pPr>
      <w:r w:rsidRPr="00BF44EB">
        <w:rPr>
          <w:rFonts w:ascii="Times New Roman" w:hAnsi="Times New Roman" w:cs="Times New Roman"/>
          <w:sz w:val="26"/>
          <w:szCs w:val="26"/>
        </w:rPr>
        <w:t>Lợi nhuận sau thuế là cơ sở để phân phối lợi nhuận</w:t>
      </w:r>
      <w:r w:rsidRPr="00BF44EB">
        <w:rPr>
          <w:rStyle w:val="ms-1"/>
          <w:rFonts w:ascii="Times New Roman" w:hAnsi="Times New Roman" w:cs="Times New Roman"/>
          <w:sz w:val="26"/>
          <w:szCs w:val="26"/>
        </w:rPr>
        <w:t xml:space="preserve">. </w:t>
      </w:r>
      <w:r w:rsidRPr="00BF44EB">
        <w:rPr>
          <w:rFonts w:ascii="Times New Roman" w:hAnsi="Times New Roman" w:cs="Times New Roman"/>
          <w:sz w:val="26"/>
          <w:szCs w:val="26"/>
        </w:rPr>
        <w:t xml:space="preserve">Sau khi trích lập các quỹ (ví dụ quỹ dự trữ bắt buộc, quỹ phát triển, quỹ khen thưởng – phúc lợi), phần còn lại sẽ chia cho cổ đông hoặc giữ lại để tái đầu tư. </w:t>
      </w:r>
    </w:p>
    <w:p w:rsidR="00BF44EB" w:rsidRPr="00BF44EB" w:rsidRDefault="00BF44EB" w:rsidP="00BF44EB">
      <w:pPr>
        <w:pStyle w:val="NormalWeb"/>
        <w:spacing w:before="0" w:beforeAutospacing="0" w:after="0" w:afterAutospacing="0"/>
        <w:jc w:val="both"/>
        <w:rPr>
          <w:sz w:val="26"/>
          <w:szCs w:val="26"/>
        </w:rPr>
      </w:pPr>
      <w:r w:rsidRPr="00BF44EB">
        <w:rPr>
          <w:rStyle w:val="Strong"/>
          <w:rFonts w:eastAsiaTheme="majorEastAsia"/>
          <w:sz w:val="26"/>
          <w:szCs w:val="26"/>
        </w:rPr>
        <w:t>Nguyên tắc phân phối lợi nhuận</w:t>
      </w:r>
      <w:r w:rsidRPr="00BF44EB">
        <w:rPr>
          <w:sz w:val="26"/>
          <w:szCs w:val="26"/>
        </w:rPr>
        <w:t>:</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 xml:space="preserve">Dựa trên lợi nhuận thực tế, đã xử lý đầy đủ nghĩa vụ về thuế và kế hoạch tài chính. Không dùng vào lợi nhuận dự kiến hay kế hoạch tương lai. </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 xml:space="preserve">Phải đảm bảo khả năng thanh toán các khoản nợ và nghĩa vụ tài chính khác trước khi phân phối. </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 xml:space="preserve">Cân bằng lợi ích giữa Nhà nước (nếu có), cổ đông, người lao động, ban điều hành và các thành phần liên quan. </w:t>
      </w:r>
    </w:p>
    <w:p w:rsidR="00BF44EB" w:rsidRPr="00BF44EB" w:rsidRDefault="00BF44EB" w:rsidP="00BF44EB">
      <w:pPr>
        <w:pStyle w:val="NormalWeb"/>
        <w:spacing w:before="0" w:beforeAutospacing="0" w:after="0" w:afterAutospacing="0"/>
        <w:jc w:val="both"/>
        <w:rPr>
          <w:sz w:val="26"/>
          <w:szCs w:val="26"/>
        </w:rPr>
      </w:pPr>
      <w:r w:rsidRPr="00BF44EB">
        <w:rPr>
          <w:rStyle w:val="Strong"/>
          <w:rFonts w:eastAsiaTheme="majorEastAsia"/>
          <w:sz w:val="26"/>
          <w:szCs w:val="26"/>
        </w:rPr>
        <w:t>Chính sách cổ tức</w:t>
      </w:r>
      <w:r w:rsidRPr="00BF44EB">
        <w:rPr>
          <w:sz w:val="26"/>
          <w:szCs w:val="26"/>
        </w:rPr>
        <w:t>:</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 xml:space="preserve">Có thể trả bằng </w:t>
      </w:r>
      <w:r w:rsidRPr="00BF44EB">
        <w:rPr>
          <w:rStyle w:val="Strong"/>
          <w:rFonts w:eastAsiaTheme="majorEastAsia"/>
          <w:b w:val="0"/>
          <w:bCs w:val="0"/>
          <w:sz w:val="26"/>
          <w:szCs w:val="26"/>
        </w:rPr>
        <w:t>tiền mặt</w:t>
      </w:r>
      <w:r w:rsidRPr="00BF44EB">
        <w:rPr>
          <w:b/>
          <w:bCs/>
          <w:sz w:val="26"/>
          <w:szCs w:val="26"/>
        </w:rPr>
        <w:t xml:space="preserve">, </w:t>
      </w:r>
      <w:r w:rsidRPr="00BF44EB">
        <w:rPr>
          <w:rStyle w:val="Strong"/>
          <w:rFonts w:eastAsiaTheme="majorEastAsia"/>
          <w:b w:val="0"/>
          <w:bCs w:val="0"/>
          <w:sz w:val="26"/>
          <w:szCs w:val="26"/>
        </w:rPr>
        <w:t>cổ phiếu</w:t>
      </w:r>
      <w:r w:rsidRPr="00BF44EB">
        <w:rPr>
          <w:sz w:val="26"/>
          <w:szCs w:val="26"/>
        </w:rPr>
        <w:t xml:space="preserve">, </w:t>
      </w:r>
      <w:r>
        <w:rPr>
          <w:sz w:val="26"/>
          <w:szCs w:val="26"/>
        </w:rPr>
        <w:t>hoặc</w:t>
      </w:r>
      <w:r w:rsidRPr="00BF44EB">
        <w:rPr>
          <w:b/>
          <w:bCs/>
          <w:sz w:val="26"/>
          <w:szCs w:val="26"/>
        </w:rPr>
        <w:t xml:space="preserve"> </w:t>
      </w:r>
      <w:r w:rsidRPr="00BF44EB">
        <w:rPr>
          <w:rStyle w:val="Strong"/>
          <w:rFonts w:eastAsiaTheme="majorEastAsia"/>
          <w:b w:val="0"/>
          <w:bCs w:val="0"/>
          <w:sz w:val="26"/>
          <w:szCs w:val="26"/>
        </w:rPr>
        <w:t>tài sản khác</w:t>
      </w:r>
      <w:r w:rsidRPr="00BF44EB">
        <w:rPr>
          <w:sz w:val="26"/>
          <w:szCs w:val="26"/>
        </w:rPr>
        <w:t>. Mỗi hình thức có ưu – nhược điểm khác nhau (ví dụ: cổ tức bằng cổ phiếu giúp tăng vốn nội sinh, giảm chi phí phát hành nhưng làm giảm EPS hiện tại).</w:t>
      </w:r>
      <w:r w:rsidRPr="00BF44EB">
        <w:rPr>
          <w:sz w:val="26"/>
          <w:szCs w:val="26"/>
        </w:rPr>
        <w:t xml:space="preserve"> </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 xml:space="preserve">Chính sách ổn định cổ tức tạo lòng tin cho cổ đông và hỗ trợ định giá cổ phiếu. </w:t>
      </w:r>
    </w:p>
    <w:p w:rsidR="00BF44EB" w:rsidRPr="00BF44EB" w:rsidRDefault="00BF44EB" w:rsidP="00BF44EB">
      <w:pPr>
        <w:pStyle w:val="NormalWeb"/>
        <w:spacing w:before="0" w:beforeAutospacing="0" w:after="0" w:afterAutospacing="0"/>
        <w:jc w:val="both"/>
        <w:rPr>
          <w:sz w:val="26"/>
          <w:szCs w:val="26"/>
        </w:rPr>
      </w:pPr>
      <w:r w:rsidRPr="00BF44EB">
        <w:rPr>
          <w:sz w:val="26"/>
          <w:szCs w:val="26"/>
        </w:rPr>
        <w:t>Khi xây dựng chính sách: cần cân nhắc khả năng tăng trưởng, huy động vốn, quyền kiểm soát, và mức thuế đối với cổ đông.</w:t>
      </w:r>
    </w:p>
    <w:p w:rsidR="00314C8D" w:rsidRPr="00BF44EB" w:rsidRDefault="00314C8D" w:rsidP="00BF44EB">
      <w:p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Trích lập các quỹ (theo Luật và điều lệ công ty):</w:t>
      </w:r>
    </w:p>
    <w:p w:rsidR="00314C8D" w:rsidRPr="00BF44EB" w:rsidRDefault="00314C8D" w:rsidP="00BF44EB">
      <w:pPr>
        <w:numPr>
          <w:ilvl w:val="1"/>
          <w:numId w:val="2"/>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Quỹ dự trữ bắt buộc.</w:t>
      </w:r>
    </w:p>
    <w:p w:rsidR="00314C8D" w:rsidRPr="00BF44EB" w:rsidRDefault="00314C8D" w:rsidP="00BF44EB">
      <w:pPr>
        <w:numPr>
          <w:ilvl w:val="1"/>
          <w:numId w:val="2"/>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Quỹ đầu tư phát triển.</w:t>
      </w:r>
    </w:p>
    <w:p w:rsidR="00314C8D" w:rsidRPr="00BF44EB" w:rsidRDefault="00314C8D" w:rsidP="00BF44EB">
      <w:pPr>
        <w:numPr>
          <w:ilvl w:val="1"/>
          <w:numId w:val="2"/>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Quỹ khen thưởng, phúc lợi.</w:t>
      </w:r>
    </w:p>
    <w:p w:rsidR="00314C8D" w:rsidRPr="00BF44EB" w:rsidRDefault="00314C8D" w:rsidP="00BF44EB">
      <w:pPr>
        <w:numPr>
          <w:ilvl w:val="1"/>
          <w:numId w:val="2"/>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Các quỹ khác (nếu có).</w:t>
      </w:r>
    </w:p>
    <w:p w:rsidR="00314C8D" w:rsidRPr="00BF44EB" w:rsidRDefault="00314C8D" w:rsidP="00BF44EB">
      <w:p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Phần lợi nhuận còn lại → chia cổ tức cho cổ đông hoặc giữ lại để tái đầu tư.</w:t>
      </w:r>
    </w:p>
    <w:p w:rsidR="00314C8D" w:rsidRPr="00BF44EB" w:rsidRDefault="00314C8D" w:rsidP="00BF44EB">
      <w:pPr>
        <w:spacing w:after="0" w:line="240" w:lineRule="auto"/>
        <w:jc w:val="both"/>
        <w:outlineLvl w:val="1"/>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3. Các chỉ số phân phối lợi nhuận quan trọng</w:t>
      </w:r>
    </w:p>
    <w:p w:rsidR="00314C8D" w:rsidRPr="00BF44EB" w:rsidRDefault="00B11154"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b/>
          <w:bCs/>
          <w:kern w:val="0"/>
          <w:sz w:val="26"/>
          <w:szCs w:val="26"/>
          <w14:ligatures w14:val="none"/>
        </w:rPr>
        <w:t>EPS – Earnings Per Share (Thu nhập trên mỗi cổ phần)</w:t>
      </w:r>
    </w:p>
    <w:p w:rsidR="00314C8D" w:rsidRPr="00BF44EB" w:rsidRDefault="00314C8D" w:rsidP="00527799">
      <w:pPr>
        <w:numPr>
          <w:ilvl w:val="0"/>
          <w:numId w:val="3"/>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Công thức:</w:t>
      </w:r>
    </w:p>
    <w:p w:rsidR="00314C8D" w:rsidRPr="00BF44EB" w:rsidRDefault="00314C8D" w:rsidP="0052779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EPS = (LNST – Cổ tức cổ phiếu ưu đãi) / Số cổ phần thường lưu hành</w:t>
      </w:r>
    </w:p>
    <w:p w:rsidR="00314C8D" w:rsidRPr="00BF44EB" w:rsidRDefault="00314C8D" w:rsidP="00527799">
      <w:pPr>
        <w:numPr>
          <w:ilvl w:val="0"/>
          <w:numId w:val="3"/>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lastRenderedPageBreak/>
        <w:t>Ý nghĩa: Đo lường lợi nhuận mà mỗi cổ phần phổ thông mang lại cho cổ đông.</w:t>
      </w:r>
    </w:p>
    <w:p w:rsidR="00314C8D" w:rsidRPr="00BF44EB" w:rsidRDefault="00B11154"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b/>
          <w:bCs/>
          <w:kern w:val="0"/>
          <w:sz w:val="26"/>
          <w:szCs w:val="26"/>
          <w14:ligatures w14:val="none"/>
        </w:rPr>
        <w:t>DPS – Dividend Per Share (Cổ tức trên mỗi cổ phần)</w:t>
      </w:r>
    </w:p>
    <w:p w:rsidR="00314C8D" w:rsidRPr="00BF44EB" w:rsidRDefault="00314C8D" w:rsidP="00527799">
      <w:pPr>
        <w:numPr>
          <w:ilvl w:val="0"/>
          <w:numId w:val="4"/>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Công thức:</w:t>
      </w:r>
    </w:p>
    <w:p w:rsidR="00314C8D" w:rsidRPr="00BF44EB" w:rsidRDefault="00314C8D" w:rsidP="00527799">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DPS = Tổng cổ tức trả cho cổ đông thường / Số cổ phần thường lưu hành</w:t>
      </w:r>
    </w:p>
    <w:p w:rsidR="00314C8D" w:rsidRPr="00BF44EB" w:rsidRDefault="00314C8D" w:rsidP="00527799">
      <w:pPr>
        <w:numPr>
          <w:ilvl w:val="0"/>
          <w:numId w:val="4"/>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Ý nghĩa: Cho biết cổ đông thực nhận bao nhiêu cổ tức trên mỗi cổ phần.</w:t>
      </w:r>
    </w:p>
    <w:p w:rsidR="00314C8D" w:rsidRPr="00BF44EB" w:rsidRDefault="00B11154"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b/>
          <w:bCs/>
          <w:kern w:val="0"/>
          <w:sz w:val="26"/>
          <w:szCs w:val="26"/>
          <w14:ligatures w14:val="none"/>
        </w:rPr>
        <w:t>Dividend Payout Ratio – Hệ số chi trả cổ tức</w:t>
      </w:r>
    </w:p>
    <w:p w:rsidR="00314C8D" w:rsidRPr="00BF44EB" w:rsidRDefault="00314C8D" w:rsidP="00527799">
      <w:pPr>
        <w:numPr>
          <w:ilvl w:val="0"/>
          <w:numId w:val="5"/>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Công thức:</w:t>
      </w:r>
    </w:p>
    <w:p w:rsidR="00314C8D" w:rsidRPr="00BF44EB" w:rsidRDefault="00314C8D" w:rsidP="00527799">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DPR = DPS / EPS</w:t>
      </w:r>
    </w:p>
    <w:p w:rsidR="00314C8D" w:rsidRPr="00BF44EB" w:rsidRDefault="00314C8D" w:rsidP="00527799">
      <w:pPr>
        <w:numPr>
          <w:ilvl w:val="0"/>
          <w:numId w:val="5"/>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Ý nghĩa: Tỷ lệ % lợi nhuận sau thuế được phân phối cho cổ đông dưới dạng cổ tức.</w:t>
      </w:r>
    </w:p>
    <w:p w:rsidR="00314C8D" w:rsidRPr="00BF44EB" w:rsidRDefault="00314C8D" w:rsidP="00527799">
      <w:pPr>
        <w:numPr>
          <w:ilvl w:val="0"/>
          <w:numId w:val="5"/>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Nếu DPR cao → công ty ưu tiên chia lợi nhuận.</w:t>
      </w:r>
    </w:p>
    <w:p w:rsidR="00314C8D" w:rsidRPr="00BF44EB" w:rsidRDefault="00314C8D" w:rsidP="00527799">
      <w:pPr>
        <w:numPr>
          <w:ilvl w:val="0"/>
          <w:numId w:val="5"/>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Nếu DPR thấp → công ty giữ lại lợi nhuận để tái đầu tư.</w:t>
      </w:r>
    </w:p>
    <w:p w:rsidR="00314C8D" w:rsidRPr="00BF44EB" w:rsidRDefault="00B11154"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b/>
          <w:bCs/>
          <w:kern w:val="0"/>
          <w:sz w:val="26"/>
          <w:szCs w:val="26"/>
          <w14:ligatures w14:val="none"/>
        </w:rPr>
        <w:t>Retention Ratio – Tỷ lệ lợi nhuận giữ lại</w:t>
      </w:r>
    </w:p>
    <w:p w:rsidR="00314C8D" w:rsidRPr="00BF44EB" w:rsidRDefault="00314C8D" w:rsidP="00527799">
      <w:pPr>
        <w:numPr>
          <w:ilvl w:val="0"/>
          <w:numId w:val="6"/>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Công thức:</w:t>
      </w:r>
    </w:p>
    <w:p w:rsidR="00314C8D" w:rsidRPr="00BF44EB" w:rsidRDefault="00314C8D" w:rsidP="00527799">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RR = 1 – DPR = (LN giữ lại / LNST)</w:t>
      </w:r>
    </w:p>
    <w:p w:rsidR="00314C8D" w:rsidRPr="00BF44EB" w:rsidRDefault="00314C8D" w:rsidP="00527799">
      <w:pPr>
        <w:numPr>
          <w:ilvl w:val="0"/>
          <w:numId w:val="6"/>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Ý nghĩa: Cho biết phần lợi nhuận giữ lại để tái đầu tư, tăng vốn, thay vì chia cho cổ đông.</w:t>
      </w:r>
    </w:p>
    <w:p w:rsidR="00314C8D" w:rsidRPr="00BF44EB" w:rsidRDefault="00B11154"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 </w:t>
      </w:r>
      <w:r w:rsidR="00314C8D" w:rsidRPr="00BF44EB">
        <w:rPr>
          <w:rFonts w:ascii="Times New Roman" w:eastAsia="Times New Roman" w:hAnsi="Times New Roman" w:cs="Times New Roman"/>
          <w:b/>
          <w:bCs/>
          <w:kern w:val="0"/>
          <w:sz w:val="26"/>
          <w:szCs w:val="26"/>
          <w14:ligatures w14:val="none"/>
        </w:rPr>
        <w:t>Dividend Yield – Tỷ suất cổ tức</w:t>
      </w:r>
    </w:p>
    <w:p w:rsidR="00314C8D" w:rsidRPr="00BF44EB" w:rsidRDefault="00314C8D" w:rsidP="00527799">
      <w:pPr>
        <w:numPr>
          <w:ilvl w:val="0"/>
          <w:numId w:val="7"/>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Công thức:</w:t>
      </w:r>
    </w:p>
    <w:p w:rsidR="00314C8D" w:rsidRPr="00BF44EB" w:rsidRDefault="00314C8D" w:rsidP="00527799">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DY = DPS / Giá thị trường mỗi cổ phiếu</w:t>
      </w:r>
    </w:p>
    <w:p w:rsidR="00314C8D" w:rsidRPr="00BF44EB" w:rsidRDefault="00314C8D" w:rsidP="00527799">
      <w:pPr>
        <w:numPr>
          <w:ilvl w:val="0"/>
          <w:numId w:val="7"/>
        </w:numPr>
        <w:spacing w:after="0" w:line="240" w:lineRule="auto"/>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Ý nghĩa: Đo lường tỷ suất sinh lời mà cổ đông thực nhận từ cổ tức so với giá mua cổ phiếu.</w:t>
      </w:r>
    </w:p>
    <w:p w:rsidR="00622F0F" w:rsidRPr="00622F0F" w:rsidRDefault="00622F0F" w:rsidP="00527799">
      <w:pPr>
        <w:spacing w:after="0" w:line="240" w:lineRule="auto"/>
        <w:jc w:val="both"/>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Ví dụ:</w:t>
      </w:r>
      <w:r w:rsidR="00527799" w:rsidRPr="00BF44EB">
        <w:rPr>
          <w:rFonts w:ascii="Times New Roman" w:eastAsia="Times New Roman" w:hAnsi="Times New Roman" w:cs="Times New Roman"/>
          <w:b/>
          <w:bCs/>
          <w:kern w:val="0"/>
          <w:sz w:val="26"/>
          <w:szCs w:val="26"/>
          <w14:ligatures w14:val="none"/>
        </w:rPr>
        <w:t xml:space="preserve"> </w:t>
      </w:r>
      <w:r w:rsidRPr="00622F0F">
        <w:rPr>
          <w:rFonts w:ascii="Times New Roman" w:eastAsia="Times New Roman" w:hAnsi="Times New Roman" w:cs="Times New Roman"/>
          <w:b/>
          <w:bCs/>
          <w:kern w:val="0"/>
          <w:sz w:val="26"/>
          <w:szCs w:val="26"/>
          <w14:ligatures w14:val="none"/>
        </w:rPr>
        <w:t>Công ty Cổ phần ABC</w:t>
      </w:r>
    </w:p>
    <w:p w:rsidR="00622F0F" w:rsidRPr="00622F0F" w:rsidRDefault="00527799" w:rsidP="00527799">
      <w:pPr>
        <w:spacing w:after="0" w:line="240" w:lineRule="auto"/>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 xml:space="preserve">a. </w:t>
      </w:r>
      <w:r w:rsidR="00622F0F" w:rsidRPr="00622F0F">
        <w:rPr>
          <w:rFonts w:ascii="Times New Roman" w:eastAsia="Times New Roman" w:hAnsi="Times New Roman" w:cs="Times New Roman"/>
          <w:b/>
          <w:bCs/>
          <w:kern w:val="0"/>
          <w:sz w:val="26"/>
          <w:szCs w:val="26"/>
          <w14:ligatures w14:val="none"/>
        </w:rPr>
        <w:t>Số liệu giả định năm 2024</w:t>
      </w:r>
    </w:p>
    <w:p w:rsidR="00622F0F" w:rsidRPr="00622F0F" w:rsidRDefault="00622F0F" w:rsidP="00527799">
      <w:pPr>
        <w:numPr>
          <w:ilvl w:val="0"/>
          <w:numId w:val="12"/>
        </w:numPr>
        <w:spacing w:after="0" w:line="240" w:lineRule="auto"/>
        <w:jc w:val="both"/>
        <w:rPr>
          <w:rFonts w:ascii="Times New Roman" w:eastAsia="Times New Roman" w:hAnsi="Times New Roman" w:cs="Times New Roman"/>
          <w:kern w:val="0"/>
          <w:sz w:val="26"/>
          <w:szCs w:val="26"/>
          <w14:ligatures w14:val="none"/>
        </w:rPr>
      </w:pPr>
      <w:r w:rsidRPr="00622F0F">
        <w:rPr>
          <w:rFonts w:ascii="Times New Roman" w:eastAsia="Times New Roman" w:hAnsi="Times New Roman" w:cs="Times New Roman"/>
          <w:b/>
          <w:bCs/>
          <w:kern w:val="0"/>
          <w:sz w:val="26"/>
          <w:szCs w:val="26"/>
          <w14:ligatures w14:val="none"/>
        </w:rPr>
        <w:t>Lợi nhuận sau thuế (LNST):</w:t>
      </w:r>
      <w:r w:rsidRPr="00622F0F">
        <w:rPr>
          <w:rFonts w:ascii="Times New Roman" w:eastAsia="Times New Roman" w:hAnsi="Times New Roman" w:cs="Times New Roman"/>
          <w:kern w:val="0"/>
          <w:sz w:val="26"/>
          <w:szCs w:val="26"/>
          <w14:ligatures w14:val="none"/>
        </w:rPr>
        <w:t xml:space="preserve"> 120 tỷ đồng</w:t>
      </w:r>
    </w:p>
    <w:p w:rsidR="00622F0F" w:rsidRPr="00622F0F" w:rsidRDefault="00622F0F" w:rsidP="00527799">
      <w:pPr>
        <w:numPr>
          <w:ilvl w:val="0"/>
          <w:numId w:val="12"/>
        </w:numPr>
        <w:spacing w:after="0" w:line="240" w:lineRule="auto"/>
        <w:jc w:val="both"/>
        <w:rPr>
          <w:rFonts w:ascii="Times New Roman" w:eastAsia="Times New Roman" w:hAnsi="Times New Roman" w:cs="Times New Roman"/>
          <w:kern w:val="0"/>
          <w:sz w:val="26"/>
          <w:szCs w:val="26"/>
          <w14:ligatures w14:val="none"/>
        </w:rPr>
      </w:pPr>
      <w:r w:rsidRPr="00622F0F">
        <w:rPr>
          <w:rFonts w:ascii="Times New Roman" w:eastAsia="Times New Roman" w:hAnsi="Times New Roman" w:cs="Times New Roman"/>
          <w:b/>
          <w:bCs/>
          <w:kern w:val="0"/>
          <w:sz w:val="26"/>
          <w:szCs w:val="26"/>
          <w14:ligatures w14:val="none"/>
        </w:rPr>
        <w:t>Số cổ phần phổ thông lưu hành:</w:t>
      </w:r>
      <w:r w:rsidRPr="00622F0F">
        <w:rPr>
          <w:rFonts w:ascii="Times New Roman" w:eastAsia="Times New Roman" w:hAnsi="Times New Roman" w:cs="Times New Roman"/>
          <w:kern w:val="0"/>
          <w:sz w:val="26"/>
          <w:szCs w:val="26"/>
          <w14:ligatures w14:val="none"/>
        </w:rPr>
        <w:t xml:space="preserve"> 40 triệu cổ phần</w:t>
      </w:r>
    </w:p>
    <w:p w:rsidR="00622F0F" w:rsidRPr="00622F0F" w:rsidRDefault="00622F0F" w:rsidP="00527799">
      <w:pPr>
        <w:numPr>
          <w:ilvl w:val="0"/>
          <w:numId w:val="12"/>
        </w:numPr>
        <w:spacing w:after="0" w:line="240" w:lineRule="auto"/>
        <w:jc w:val="both"/>
        <w:rPr>
          <w:rFonts w:ascii="Times New Roman" w:eastAsia="Times New Roman" w:hAnsi="Times New Roman" w:cs="Times New Roman"/>
          <w:kern w:val="0"/>
          <w:sz w:val="26"/>
          <w:szCs w:val="26"/>
          <w14:ligatures w14:val="none"/>
        </w:rPr>
      </w:pPr>
      <w:r w:rsidRPr="00622F0F">
        <w:rPr>
          <w:rFonts w:ascii="Times New Roman" w:eastAsia="Times New Roman" w:hAnsi="Times New Roman" w:cs="Times New Roman"/>
          <w:b/>
          <w:bCs/>
          <w:kern w:val="0"/>
          <w:sz w:val="26"/>
          <w:szCs w:val="26"/>
          <w14:ligatures w14:val="none"/>
        </w:rPr>
        <w:t>Cổ tức chi trả:</w:t>
      </w:r>
      <w:r w:rsidRPr="00622F0F">
        <w:rPr>
          <w:rFonts w:ascii="Times New Roman" w:eastAsia="Times New Roman" w:hAnsi="Times New Roman" w:cs="Times New Roman"/>
          <w:kern w:val="0"/>
          <w:sz w:val="26"/>
          <w:szCs w:val="26"/>
          <w14:ligatures w14:val="none"/>
        </w:rPr>
        <w:t xml:space="preserve"> 48 tỷ đồng (trả bằng tiền mặt)</w:t>
      </w:r>
    </w:p>
    <w:p w:rsidR="00622F0F" w:rsidRPr="00622F0F" w:rsidRDefault="00622F0F" w:rsidP="00527799">
      <w:pPr>
        <w:numPr>
          <w:ilvl w:val="0"/>
          <w:numId w:val="12"/>
        </w:numPr>
        <w:spacing w:after="0" w:line="240" w:lineRule="auto"/>
        <w:jc w:val="both"/>
        <w:rPr>
          <w:rFonts w:ascii="Times New Roman" w:eastAsia="Times New Roman" w:hAnsi="Times New Roman" w:cs="Times New Roman"/>
          <w:kern w:val="0"/>
          <w:sz w:val="26"/>
          <w:szCs w:val="26"/>
          <w14:ligatures w14:val="none"/>
        </w:rPr>
      </w:pPr>
      <w:r w:rsidRPr="00622F0F">
        <w:rPr>
          <w:rFonts w:ascii="Times New Roman" w:eastAsia="Times New Roman" w:hAnsi="Times New Roman" w:cs="Times New Roman"/>
          <w:b/>
          <w:bCs/>
          <w:kern w:val="0"/>
          <w:sz w:val="26"/>
          <w:szCs w:val="26"/>
          <w14:ligatures w14:val="none"/>
        </w:rPr>
        <w:t>Giá thị trường bình quân của cổ phiếu:</w:t>
      </w:r>
      <w:r w:rsidRPr="00622F0F">
        <w:rPr>
          <w:rFonts w:ascii="Times New Roman" w:eastAsia="Times New Roman" w:hAnsi="Times New Roman" w:cs="Times New Roman"/>
          <w:kern w:val="0"/>
          <w:sz w:val="26"/>
          <w:szCs w:val="26"/>
          <w14:ligatures w14:val="none"/>
        </w:rPr>
        <w:t xml:space="preserve"> 30.000 đồng/cổ phiếu</w:t>
      </w:r>
    </w:p>
    <w:p w:rsidR="00622F0F" w:rsidRPr="00BF44EB" w:rsidRDefault="00622F0F" w:rsidP="00527799">
      <w:pPr>
        <w:spacing w:after="0" w:line="240" w:lineRule="auto"/>
        <w:jc w:val="both"/>
        <w:outlineLvl w:val="2"/>
        <w:rPr>
          <w:rFonts w:ascii="Times New Roman" w:eastAsia="Times New Roman" w:hAnsi="Times New Roman" w:cs="Times New Roman"/>
          <w:kern w:val="0"/>
          <w:sz w:val="26"/>
          <w:szCs w:val="26"/>
          <w14:ligatures w14:val="none"/>
        </w:rPr>
      </w:pPr>
    </w:p>
    <w:tbl>
      <w:tblPr>
        <w:tblStyle w:val="TableGrid"/>
        <w:tblW w:w="0" w:type="auto"/>
        <w:tblLook w:val="04A0" w:firstRow="1" w:lastRow="0" w:firstColumn="1" w:lastColumn="0" w:noHBand="0" w:noVBand="1"/>
      </w:tblPr>
      <w:tblGrid>
        <w:gridCol w:w="4675"/>
        <w:gridCol w:w="4675"/>
      </w:tblGrid>
      <w:tr w:rsidR="00622F0F" w:rsidRPr="00BF44EB" w:rsidTr="00622F0F">
        <w:tc>
          <w:tcPr>
            <w:tcW w:w="4675" w:type="dxa"/>
          </w:tcPr>
          <w:p w:rsidR="00622F0F" w:rsidRPr="00BF44EB" w:rsidRDefault="00622F0F" w:rsidP="00527799">
            <w:pPr>
              <w:jc w:val="both"/>
              <w:outlineLvl w:val="2"/>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 xml:space="preserve">EPS </w:t>
            </w:r>
            <w:r w:rsidRPr="00BF44EB">
              <w:rPr>
                <w:rFonts w:ascii="Times New Roman" w:eastAsia="Times New Roman" w:hAnsi="Times New Roman" w:cs="Times New Roman"/>
                <w:kern w:val="0"/>
                <w:sz w:val="26"/>
                <w:szCs w:val="26"/>
                <w14:ligatures w14:val="none"/>
              </w:rPr>
              <w:t>(Thu nhập trên mỗi cổ phần)</w:t>
            </w:r>
          </w:p>
        </w:tc>
        <w:tc>
          <w:tcPr>
            <w:tcW w:w="4675" w:type="dxa"/>
          </w:tcPr>
          <w:p w:rsidR="00622F0F" w:rsidRPr="00BF44EB" w:rsidRDefault="00622F0F" w:rsidP="00527799">
            <w:pPr>
              <w:jc w:val="both"/>
              <w:outlineLvl w:val="2"/>
              <w:rPr>
                <w:rFonts w:ascii="Times New Roman" w:eastAsia="Times New Roman" w:hAnsi="Times New Roman" w:cs="Times New Roman"/>
                <w:b/>
                <w:bCs/>
                <w:kern w:val="0"/>
                <w:sz w:val="26"/>
                <w:szCs w:val="26"/>
                <w14:ligatures w14:val="none"/>
              </w:rPr>
            </w:pPr>
            <w:r w:rsidRPr="00BF44EB">
              <w:rPr>
                <w:rFonts w:ascii="Times New Roman" w:eastAsia="Times New Roman" w:hAnsi="Times New Roman" w:cs="Times New Roman"/>
                <w:b/>
                <w:bCs/>
                <w:kern w:val="0"/>
                <w:sz w:val="26"/>
                <w:szCs w:val="26"/>
                <w14:ligatures w14:val="none"/>
              </w:rPr>
              <w:t>3000đ/cp (</w:t>
            </w:r>
            <w:r w:rsidRPr="00622F0F">
              <w:rPr>
                <w:rFonts w:ascii="Times New Roman" w:eastAsia="Times New Roman" w:hAnsi="Times New Roman" w:cs="Times New Roman"/>
                <w:kern w:val="0"/>
                <w:sz w:val="26"/>
                <w:szCs w:val="26"/>
                <w14:ligatures w14:val="none"/>
              </w:rPr>
              <w:t xml:space="preserve">Mỗi cổ phần của công ty tạo ra </w:t>
            </w:r>
            <w:r w:rsidRPr="00622F0F">
              <w:rPr>
                <w:rFonts w:ascii="Times New Roman" w:eastAsia="Times New Roman" w:hAnsi="Times New Roman" w:cs="Times New Roman"/>
                <w:b/>
                <w:bCs/>
                <w:kern w:val="0"/>
                <w:sz w:val="26"/>
                <w:szCs w:val="26"/>
                <w14:ligatures w14:val="none"/>
              </w:rPr>
              <w:t>3.000 đồng lợi nhuận</w:t>
            </w:r>
            <w:r w:rsidRPr="00622F0F">
              <w:rPr>
                <w:rFonts w:ascii="Times New Roman" w:eastAsia="Times New Roman" w:hAnsi="Times New Roman" w:cs="Times New Roman"/>
                <w:kern w:val="0"/>
                <w:sz w:val="26"/>
                <w:szCs w:val="26"/>
                <w14:ligatures w14:val="none"/>
              </w:rPr>
              <w:t xml:space="preserve"> trong năm</w:t>
            </w:r>
            <w:r w:rsidRPr="00BF44EB">
              <w:rPr>
                <w:rFonts w:ascii="Times New Roman" w:eastAsia="Times New Roman" w:hAnsi="Times New Roman" w:cs="Times New Roman"/>
                <w:kern w:val="0"/>
                <w:sz w:val="26"/>
                <w:szCs w:val="26"/>
                <w14:ligatures w14:val="none"/>
              </w:rPr>
              <w:t>)</w:t>
            </w:r>
          </w:p>
        </w:tc>
      </w:tr>
      <w:tr w:rsidR="00622F0F" w:rsidRPr="00BF44EB" w:rsidTr="00622F0F">
        <w:tc>
          <w:tcPr>
            <w:tcW w:w="4675" w:type="dxa"/>
          </w:tcPr>
          <w:p w:rsidR="00622F0F" w:rsidRPr="00BF44EB" w:rsidRDefault="00622F0F" w:rsidP="00527799">
            <w:pPr>
              <w:jc w:val="both"/>
              <w:outlineLvl w:val="2"/>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 xml:space="preserve">DPS </w:t>
            </w:r>
            <w:r w:rsidRPr="00BF44EB">
              <w:rPr>
                <w:rFonts w:ascii="Times New Roman" w:eastAsia="Times New Roman" w:hAnsi="Times New Roman" w:cs="Times New Roman"/>
                <w:kern w:val="0"/>
                <w:sz w:val="26"/>
                <w:szCs w:val="26"/>
                <w14:ligatures w14:val="none"/>
              </w:rPr>
              <w:t>(Cổ tức trên mỗi cổ phần)</w:t>
            </w:r>
          </w:p>
        </w:tc>
        <w:tc>
          <w:tcPr>
            <w:tcW w:w="4675" w:type="dxa"/>
          </w:tcPr>
          <w:p w:rsidR="00622F0F" w:rsidRPr="00BF44EB" w:rsidRDefault="00622F0F" w:rsidP="00527799">
            <w:pPr>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b/>
                <w:bCs/>
                <w:kern w:val="0"/>
                <w:sz w:val="26"/>
                <w:szCs w:val="26"/>
                <w14:ligatures w14:val="none"/>
              </w:rPr>
              <w:t>1200đ/cp</w:t>
            </w:r>
            <w:r w:rsidRPr="00BF44EB">
              <w:rPr>
                <w:rFonts w:ascii="Times New Roman" w:eastAsia="Times New Roman" w:hAnsi="Times New Roman" w:cs="Times New Roman"/>
                <w:kern w:val="0"/>
                <w:sz w:val="26"/>
                <w:szCs w:val="26"/>
                <w14:ligatures w14:val="none"/>
              </w:rPr>
              <w:t xml:space="preserve"> (</w:t>
            </w:r>
            <w:r w:rsidRPr="00622F0F">
              <w:rPr>
                <w:rFonts w:ascii="Times New Roman" w:eastAsia="Times New Roman" w:hAnsi="Times New Roman" w:cs="Times New Roman"/>
                <w:kern w:val="0"/>
                <w:sz w:val="26"/>
                <w:szCs w:val="26"/>
                <w14:ligatures w14:val="none"/>
              </w:rPr>
              <w:t xml:space="preserve">Cổ đông nhận </w:t>
            </w:r>
            <w:r w:rsidRPr="00622F0F">
              <w:rPr>
                <w:rFonts w:ascii="Times New Roman" w:eastAsia="Times New Roman" w:hAnsi="Times New Roman" w:cs="Times New Roman"/>
                <w:b/>
                <w:bCs/>
                <w:kern w:val="0"/>
                <w:sz w:val="26"/>
                <w:szCs w:val="26"/>
                <w14:ligatures w14:val="none"/>
              </w:rPr>
              <w:t>1.200 đồng cổ tức</w:t>
            </w:r>
            <w:r w:rsidRPr="00622F0F">
              <w:rPr>
                <w:rFonts w:ascii="Times New Roman" w:eastAsia="Times New Roman" w:hAnsi="Times New Roman" w:cs="Times New Roman"/>
                <w:kern w:val="0"/>
                <w:sz w:val="26"/>
                <w:szCs w:val="26"/>
                <w14:ligatures w14:val="none"/>
              </w:rPr>
              <w:t xml:space="preserve"> cho mỗi cổ phiếu</w:t>
            </w:r>
            <w:r w:rsidRPr="00BF44EB">
              <w:rPr>
                <w:rFonts w:ascii="Times New Roman" w:eastAsia="Times New Roman" w:hAnsi="Times New Roman" w:cs="Times New Roman"/>
                <w:kern w:val="0"/>
                <w:sz w:val="26"/>
                <w:szCs w:val="26"/>
                <w14:ligatures w14:val="none"/>
              </w:rPr>
              <w:t>)</w:t>
            </w:r>
          </w:p>
        </w:tc>
      </w:tr>
      <w:tr w:rsidR="00622F0F" w:rsidRPr="00BF44EB" w:rsidTr="00622F0F">
        <w:tc>
          <w:tcPr>
            <w:tcW w:w="4675" w:type="dxa"/>
          </w:tcPr>
          <w:p w:rsidR="00622F0F" w:rsidRPr="00BF44EB" w:rsidRDefault="00622F0F" w:rsidP="00527799">
            <w:pPr>
              <w:jc w:val="both"/>
              <w:outlineLvl w:val="2"/>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DPR (</w:t>
            </w:r>
            <w:r w:rsidRPr="00BF44EB">
              <w:rPr>
                <w:rFonts w:ascii="Times New Roman" w:eastAsia="Times New Roman" w:hAnsi="Times New Roman" w:cs="Times New Roman"/>
                <w:kern w:val="0"/>
                <w:sz w:val="26"/>
                <w:szCs w:val="26"/>
                <w14:ligatures w14:val="none"/>
              </w:rPr>
              <w:t>Hệ số chi trả cổ tức</w:t>
            </w:r>
            <w:r w:rsidRPr="00BF44EB">
              <w:rPr>
                <w:rFonts w:ascii="Times New Roman" w:eastAsia="Times New Roman" w:hAnsi="Times New Roman" w:cs="Times New Roman"/>
                <w:kern w:val="0"/>
                <w:sz w:val="26"/>
                <w:szCs w:val="26"/>
                <w14:ligatures w14:val="none"/>
              </w:rPr>
              <w:t>)</w:t>
            </w:r>
          </w:p>
        </w:tc>
        <w:tc>
          <w:tcPr>
            <w:tcW w:w="4675" w:type="dxa"/>
          </w:tcPr>
          <w:p w:rsidR="00622F0F" w:rsidRPr="00BF44EB" w:rsidRDefault="00622F0F" w:rsidP="00527799">
            <w:pPr>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b/>
                <w:bCs/>
                <w:kern w:val="0"/>
                <w:sz w:val="26"/>
                <w:szCs w:val="26"/>
                <w14:ligatures w14:val="none"/>
              </w:rPr>
              <w:t>40% (</w:t>
            </w:r>
            <w:r w:rsidRPr="00622F0F">
              <w:rPr>
                <w:rFonts w:ascii="Times New Roman" w:eastAsia="Times New Roman" w:hAnsi="Times New Roman" w:cs="Times New Roman"/>
                <w:kern w:val="0"/>
                <w:sz w:val="26"/>
                <w:szCs w:val="26"/>
                <w14:ligatures w14:val="none"/>
              </w:rPr>
              <w:t xml:space="preserve">Công ty chi </w:t>
            </w:r>
            <w:r w:rsidRPr="00622F0F">
              <w:rPr>
                <w:rFonts w:ascii="Times New Roman" w:eastAsia="Times New Roman" w:hAnsi="Times New Roman" w:cs="Times New Roman"/>
                <w:b/>
                <w:bCs/>
                <w:kern w:val="0"/>
                <w:sz w:val="26"/>
                <w:szCs w:val="26"/>
                <w14:ligatures w14:val="none"/>
              </w:rPr>
              <w:t>40% lợi nhuận</w:t>
            </w:r>
            <w:r w:rsidRPr="00622F0F">
              <w:rPr>
                <w:rFonts w:ascii="Times New Roman" w:eastAsia="Times New Roman" w:hAnsi="Times New Roman" w:cs="Times New Roman"/>
                <w:kern w:val="0"/>
                <w:sz w:val="26"/>
                <w:szCs w:val="26"/>
                <w14:ligatures w14:val="none"/>
              </w:rPr>
              <w:t xml:space="preserve"> để trả cổ tức, giữ lại </w:t>
            </w:r>
            <w:r w:rsidRPr="00622F0F">
              <w:rPr>
                <w:rFonts w:ascii="Times New Roman" w:eastAsia="Times New Roman" w:hAnsi="Times New Roman" w:cs="Times New Roman"/>
                <w:b/>
                <w:bCs/>
                <w:kern w:val="0"/>
                <w:sz w:val="26"/>
                <w:szCs w:val="26"/>
                <w14:ligatures w14:val="none"/>
              </w:rPr>
              <w:t>60%</w:t>
            </w:r>
            <w:r w:rsidRPr="00622F0F">
              <w:rPr>
                <w:rFonts w:ascii="Times New Roman" w:eastAsia="Times New Roman" w:hAnsi="Times New Roman" w:cs="Times New Roman"/>
                <w:kern w:val="0"/>
                <w:sz w:val="26"/>
                <w:szCs w:val="26"/>
                <w14:ligatures w14:val="none"/>
              </w:rPr>
              <w:t xml:space="preserve"> để tái đầu tư</w:t>
            </w:r>
            <w:r w:rsidRPr="00BF44EB">
              <w:rPr>
                <w:rFonts w:ascii="Times New Roman" w:eastAsia="Times New Roman" w:hAnsi="Times New Roman" w:cs="Times New Roman"/>
                <w:kern w:val="0"/>
                <w:sz w:val="26"/>
                <w:szCs w:val="26"/>
                <w14:ligatures w14:val="none"/>
              </w:rPr>
              <w:t>)</w:t>
            </w:r>
          </w:p>
        </w:tc>
      </w:tr>
      <w:tr w:rsidR="00622F0F" w:rsidRPr="00BF44EB" w:rsidTr="00622F0F">
        <w:tc>
          <w:tcPr>
            <w:tcW w:w="4675" w:type="dxa"/>
          </w:tcPr>
          <w:p w:rsidR="00622F0F" w:rsidRPr="00BF44EB" w:rsidRDefault="00622F0F" w:rsidP="00527799">
            <w:pPr>
              <w:jc w:val="both"/>
              <w:outlineLvl w:val="2"/>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RR (</w:t>
            </w:r>
            <w:r w:rsidRPr="00BF44EB">
              <w:rPr>
                <w:rFonts w:ascii="Times New Roman" w:eastAsia="Times New Roman" w:hAnsi="Times New Roman" w:cs="Times New Roman"/>
                <w:kern w:val="0"/>
                <w:sz w:val="26"/>
                <w:szCs w:val="26"/>
                <w14:ligatures w14:val="none"/>
              </w:rPr>
              <w:t>Tỷ lệ lợi nhuận giữ lại</w:t>
            </w:r>
            <w:r w:rsidRPr="00BF44EB">
              <w:rPr>
                <w:rFonts w:ascii="Times New Roman" w:eastAsia="Times New Roman" w:hAnsi="Times New Roman" w:cs="Times New Roman"/>
                <w:kern w:val="0"/>
                <w:sz w:val="26"/>
                <w:szCs w:val="26"/>
                <w14:ligatures w14:val="none"/>
              </w:rPr>
              <w:t>)</w:t>
            </w:r>
          </w:p>
        </w:tc>
        <w:tc>
          <w:tcPr>
            <w:tcW w:w="4675" w:type="dxa"/>
          </w:tcPr>
          <w:p w:rsidR="00622F0F" w:rsidRPr="00BF44EB" w:rsidRDefault="00622F0F" w:rsidP="00527799">
            <w:pPr>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 xml:space="preserve"> </w:t>
            </w:r>
            <w:r w:rsidRPr="00BF44EB">
              <w:rPr>
                <w:rFonts w:ascii="Times New Roman" w:eastAsia="Times New Roman" w:hAnsi="Times New Roman" w:cs="Times New Roman"/>
                <w:b/>
                <w:bCs/>
                <w:kern w:val="0"/>
                <w:sz w:val="26"/>
                <w:szCs w:val="26"/>
                <w14:ligatures w14:val="none"/>
              </w:rPr>
              <w:t>60%</w:t>
            </w:r>
            <w:r w:rsidRPr="00BF44EB">
              <w:rPr>
                <w:rFonts w:ascii="Times New Roman" w:eastAsia="Times New Roman" w:hAnsi="Times New Roman" w:cs="Times New Roman"/>
                <w:kern w:val="0"/>
                <w:sz w:val="26"/>
                <w:szCs w:val="26"/>
                <w14:ligatures w14:val="none"/>
              </w:rPr>
              <w:t xml:space="preserve"> (</w:t>
            </w:r>
            <w:r w:rsidRPr="00622F0F">
              <w:rPr>
                <w:rFonts w:ascii="Times New Roman" w:eastAsia="Times New Roman" w:hAnsi="Times New Roman" w:cs="Times New Roman"/>
                <w:kern w:val="0"/>
                <w:sz w:val="26"/>
                <w:szCs w:val="26"/>
                <w14:ligatures w14:val="none"/>
              </w:rPr>
              <w:t>Cho thấy công ty ưu tiên giữ lại phần lớn lợi nhuận để phát triển dài hạn</w:t>
            </w:r>
            <w:r w:rsidRPr="00BF44EB">
              <w:rPr>
                <w:rFonts w:ascii="Times New Roman" w:eastAsia="Times New Roman" w:hAnsi="Times New Roman" w:cs="Times New Roman"/>
                <w:kern w:val="0"/>
                <w:sz w:val="26"/>
                <w:szCs w:val="26"/>
                <w14:ligatures w14:val="none"/>
              </w:rPr>
              <w:t>)</w:t>
            </w:r>
          </w:p>
        </w:tc>
      </w:tr>
      <w:tr w:rsidR="00622F0F" w:rsidRPr="00BF44EB" w:rsidTr="00622F0F">
        <w:tc>
          <w:tcPr>
            <w:tcW w:w="4675" w:type="dxa"/>
          </w:tcPr>
          <w:p w:rsidR="00622F0F" w:rsidRPr="00BF44EB" w:rsidRDefault="00622F0F" w:rsidP="00527799">
            <w:pPr>
              <w:jc w:val="both"/>
              <w:outlineLvl w:val="2"/>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kern w:val="0"/>
                <w:sz w:val="26"/>
                <w:szCs w:val="26"/>
                <w14:ligatures w14:val="none"/>
              </w:rPr>
              <w:t>DY (</w:t>
            </w:r>
            <w:r w:rsidRPr="00BF44EB">
              <w:rPr>
                <w:rFonts w:ascii="Times New Roman" w:eastAsia="Times New Roman" w:hAnsi="Times New Roman" w:cs="Times New Roman"/>
                <w:kern w:val="0"/>
                <w:sz w:val="26"/>
                <w:szCs w:val="26"/>
                <w14:ligatures w14:val="none"/>
              </w:rPr>
              <w:t>Tỷ suất cổ tức</w:t>
            </w:r>
            <w:r w:rsidRPr="00BF44EB">
              <w:rPr>
                <w:rFonts w:ascii="Times New Roman" w:eastAsia="Times New Roman" w:hAnsi="Times New Roman" w:cs="Times New Roman"/>
                <w:kern w:val="0"/>
                <w:sz w:val="26"/>
                <w:szCs w:val="26"/>
                <w14:ligatures w14:val="none"/>
              </w:rPr>
              <w:t>)</w:t>
            </w:r>
          </w:p>
        </w:tc>
        <w:tc>
          <w:tcPr>
            <w:tcW w:w="4675" w:type="dxa"/>
          </w:tcPr>
          <w:p w:rsidR="00622F0F" w:rsidRPr="00BF44EB" w:rsidRDefault="00622F0F" w:rsidP="00527799">
            <w:pPr>
              <w:jc w:val="both"/>
              <w:rPr>
                <w:rFonts w:ascii="Times New Roman" w:eastAsia="Times New Roman" w:hAnsi="Times New Roman" w:cs="Times New Roman"/>
                <w:kern w:val="0"/>
                <w:sz w:val="26"/>
                <w:szCs w:val="26"/>
                <w14:ligatures w14:val="none"/>
              </w:rPr>
            </w:pPr>
            <w:r w:rsidRPr="00BF44EB">
              <w:rPr>
                <w:rFonts w:ascii="Times New Roman" w:eastAsia="Times New Roman" w:hAnsi="Times New Roman" w:cs="Times New Roman"/>
                <w:b/>
                <w:bCs/>
                <w:kern w:val="0"/>
                <w:sz w:val="26"/>
                <w:szCs w:val="26"/>
                <w14:ligatures w14:val="none"/>
              </w:rPr>
              <w:t>4% (</w:t>
            </w:r>
            <w:r w:rsidRPr="00622F0F">
              <w:rPr>
                <w:rFonts w:ascii="Times New Roman" w:eastAsia="Times New Roman" w:hAnsi="Times New Roman" w:cs="Times New Roman"/>
                <w:kern w:val="0"/>
                <w:sz w:val="26"/>
                <w:szCs w:val="26"/>
                <w14:ligatures w14:val="none"/>
              </w:rPr>
              <w:t xml:space="preserve">Nếu nhà đầu tư mua cổ phiếu giá 30.000đ, họ nhận lợi tức </w:t>
            </w:r>
            <w:r w:rsidRPr="00622F0F">
              <w:rPr>
                <w:rFonts w:ascii="Times New Roman" w:eastAsia="Times New Roman" w:hAnsi="Times New Roman" w:cs="Times New Roman"/>
                <w:b/>
                <w:bCs/>
                <w:kern w:val="0"/>
                <w:sz w:val="26"/>
                <w:szCs w:val="26"/>
                <w14:ligatures w14:val="none"/>
              </w:rPr>
              <w:t>4%/năm</w:t>
            </w:r>
            <w:r w:rsidRPr="00622F0F">
              <w:rPr>
                <w:rFonts w:ascii="Times New Roman" w:eastAsia="Times New Roman" w:hAnsi="Times New Roman" w:cs="Times New Roman"/>
                <w:kern w:val="0"/>
                <w:sz w:val="26"/>
                <w:szCs w:val="26"/>
                <w14:ligatures w14:val="none"/>
              </w:rPr>
              <w:t xml:space="preserve"> từ cổ tức</w:t>
            </w:r>
            <w:r w:rsidRPr="00BF44EB">
              <w:rPr>
                <w:rFonts w:ascii="Times New Roman" w:eastAsia="Times New Roman" w:hAnsi="Times New Roman" w:cs="Times New Roman"/>
                <w:kern w:val="0"/>
                <w:sz w:val="26"/>
                <w:szCs w:val="26"/>
                <w14:ligatures w14:val="none"/>
              </w:rPr>
              <w:t>)</w:t>
            </w:r>
          </w:p>
        </w:tc>
      </w:tr>
    </w:tbl>
    <w:p w:rsidR="00622F0F" w:rsidRPr="00BF44EB" w:rsidRDefault="00527799" w:rsidP="00527799">
      <w:pPr>
        <w:spacing w:after="0" w:line="240" w:lineRule="auto"/>
        <w:jc w:val="both"/>
        <w:rPr>
          <w:rFonts w:ascii="Times New Roman" w:hAnsi="Times New Roman" w:cs="Times New Roman"/>
          <w:b/>
          <w:bCs/>
          <w:sz w:val="26"/>
          <w:szCs w:val="26"/>
        </w:rPr>
      </w:pPr>
      <w:r w:rsidRPr="00BF44EB">
        <w:rPr>
          <w:rFonts w:ascii="Times New Roman" w:hAnsi="Times New Roman" w:cs="Times New Roman"/>
          <w:b/>
          <w:bCs/>
          <w:sz w:val="26"/>
          <w:szCs w:val="26"/>
        </w:rPr>
        <w:t>b. Quy trình phân phối lợi nhuận</w:t>
      </w:r>
    </w:p>
    <w:p w:rsidR="00527799" w:rsidRPr="00BF44EB" w:rsidRDefault="00527799" w:rsidP="00527799">
      <w:pPr>
        <w:spacing w:after="0" w:line="240" w:lineRule="auto"/>
        <w:jc w:val="both"/>
        <w:rPr>
          <w:rFonts w:ascii="Times New Roman" w:hAnsi="Times New Roman" w:cs="Times New Roman"/>
          <w:sz w:val="26"/>
          <w:szCs w:val="26"/>
        </w:rPr>
      </w:pPr>
      <w:r w:rsidRPr="00BF44EB">
        <w:rPr>
          <w:rFonts w:ascii="Times New Roman" w:hAnsi="Times New Roman" w:cs="Times New Roman"/>
          <w:sz w:val="26"/>
          <w:szCs w:val="26"/>
        </w:rPr>
        <w:t xml:space="preserve">Theo như nội dung trong mục 2, quy trình phân phối lợi nhuận là điều bắt buộc các doanh nghiệp cổ phần thực hiện khi có lợi nhuận sau thuế. Vậy nếu áp dụng các chỉ số phân phối </w:t>
      </w:r>
      <w:r w:rsidRPr="00BF44EB">
        <w:rPr>
          <w:rFonts w:ascii="Times New Roman" w:hAnsi="Times New Roman" w:cs="Times New Roman"/>
          <w:sz w:val="26"/>
          <w:szCs w:val="26"/>
        </w:rPr>
        <w:lastRenderedPageBreak/>
        <w:t>lợi nhuận theo ví dụ trên thì quy trình phân phối lợi nhuận này nên được áp dụng trước hay sau để mang lại hiệu quả tốt nhất?</w:t>
      </w:r>
    </w:p>
    <w:p w:rsidR="00BC2BCF" w:rsidRPr="00BF44EB" w:rsidRDefault="00BC2BCF" w:rsidP="00527799">
      <w:pPr>
        <w:spacing w:after="0" w:line="240" w:lineRule="auto"/>
        <w:jc w:val="both"/>
        <w:rPr>
          <w:rFonts w:ascii="Times New Roman" w:hAnsi="Times New Roman" w:cs="Times New Roman"/>
          <w:b/>
          <w:bCs/>
          <w:sz w:val="26"/>
          <w:szCs w:val="26"/>
        </w:rPr>
      </w:pPr>
      <w:r w:rsidRPr="00BF44EB">
        <w:rPr>
          <w:rFonts w:ascii="Times New Roman" w:hAnsi="Times New Roman" w:cs="Times New Roman"/>
          <w:b/>
          <w:bCs/>
          <w:sz w:val="26"/>
          <w:szCs w:val="26"/>
        </w:rPr>
        <w:t>Tài liệu tham khảo</w:t>
      </w:r>
    </w:p>
    <w:p w:rsidR="00BC2BCF" w:rsidRPr="00BF44EB" w:rsidRDefault="00BC2BCF" w:rsidP="00527799">
      <w:pPr>
        <w:spacing w:after="0" w:line="240" w:lineRule="auto"/>
        <w:jc w:val="both"/>
        <w:rPr>
          <w:rFonts w:ascii="Times New Roman" w:hAnsi="Times New Roman" w:cs="Times New Roman"/>
          <w:sz w:val="26"/>
          <w:szCs w:val="26"/>
        </w:rPr>
      </w:pPr>
      <w:r w:rsidRPr="00BF44EB">
        <w:rPr>
          <w:rFonts w:ascii="Times New Roman" w:hAnsi="Times New Roman" w:cs="Times New Roman"/>
          <w:sz w:val="26"/>
          <w:szCs w:val="26"/>
        </w:rPr>
        <w:t xml:space="preserve">1. </w:t>
      </w:r>
      <w:hyperlink r:id="rId5" w:history="1">
        <w:r w:rsidRPr="00BF44EB">
          <w:rPr>
            <w:rStyle w:val="Hyperlink"/>
            <w:rFonts w:ascii="Times New Roman" w:hAnsi="Times New Roman" w:cs="Times New Roman"/>
            <w:sz w:val="26"/>
            <w:szCs w:val="26"/>
          </w:rPr>
          <w:t>https://amis.misa.vn/114679/cac-nhom-chi-so-chinh-phan-tich-bao-cao-tai-chinh-trong-doanh-nghiep</w:t>
        </w:r>
      </w:hyperlink>
    </w:p>
    <w:p w:rsidR="00BC2BCF" w:rsidRPr="00BF44EB" w:rsidRDefault="00BC2BCF" w:rsidP="00527799">
      <w:pPr>
        <w:spacing w:after="0" w:line="240" w:lineRule="auto"/>
        <w:jc w:val="both"/>
        <w:rPr>
          <w:rFonts w:ascii="Times New Roman" w:hAnsi="Times New Roman" w:cs="Times New Roman"/>
          <w:sz w:val="26"/>
          <w:szCs w:val="26"/>
        </w:rPr>
      </w:pPr>
    </w:p>
    <w:p w:rsidR="00BC2BCF" w:rsidRPr="00BF44EB" w:rsidRDefault="00BC2BCF" w:rsidP="00527799">
      <w:pPr>
        <w:spacing w:after="0" w:line="240" w:lineRule="auto"/>
        <w:jc w:val="both"/>
        <w:rPr>
          <w:rFonts w:ascii="Times New Roman" w:hAnsi="Times New Roman" w:cs="Times New Roman"/>
          <w:sz w:val="26"/>
          <w:szCs w:val="26"/>
        </w:rPr>
      </w:pPr>
      <w:r w:rsidRPr="00BF44EB">
        <w:rPr>
          <w:rFonts w:ascii="Times New Roman" w:hAnsi="Times New Roman" w:cs="Times New Roman"/>
          <w:sz w:val="26"/>
          <w:szCs w:val="26"/>
        </w:rPr>
        <w:t xml:space="preserve">2. </w:t>
      </w:r>
      <w:hyperlink r:id="rId6" w:history="1">
        <w:r w:rsidRPr="00BF44EB">
          <w:rPr>
            <w:rStyle w:val="Hyperlink"/>
            <w:rFonts w:ascii="Times New Roman" w:hAnsi="Times New Roman" w:cs="Times New Roman"/>
            <w:sz w:val="26"/>
            <w:szCs w:val="26"/>
          </w:rPr>
          <w:t>https://erpsme.vn/cac-chi-so-tai-chinh</w:t>
        </w:r>
      </w:hyperlink>
    </w:p>
    <w:p w:rsidR="00BC2BCF" w:rsidRPr="00BF44EB" w:rsidRDefault="00BC2BCF" w:rsidP="00527799">
      <w:pPr>
        <w:spacing w:after="0" w:line="240" w:lineRule="auto"/>
        <w:jc w:val="both"/>
        <w:rPr>
          <w:rFonts w:ascii="Times New Roman" w:hAnsi="Times New Roman" w:cs="Times New Roman"/>
          <w:sz w:val="26"/>
          <w:szCs w:val="26"/>
        </w:rPr>
      </w:pPr>
      <w:r w:rsidRPr="00BF44EB">
        <w:rPr>
          <w:rFonts w:ascii="Times New Roman" w:hAnsi="Times New Roman" w:cs="Times New Roman"/>
          <w:sz w:val="26"/>
          <w:szCs w:val="26"/>
        </w:rPr>
        <w:t xml:space="preserve">3. </w:t>
      </w:r>
      <w:hyperlink r:id="rId7" w:history="1">
        <w:r w:rsidRPr="00BF44EB">
          <w:rPr>
            <w:rStyle w:val="Hyperlink"/>
            <w:rFonts w:ascii="Times New Roman" w:hAnsi="Times New Roman" w:cs="Times New Roman"/>
            <w:sz w:val="26"/>
            <w:szCs w:val="26"/>
          </w:rPr>
          <w:t>https://gonnapass.com/phan-phoi-loi-nhuan-cua-doanh-nghiep/</w:t>
        </w:r>
      </w:hyperlink>
    </w:p>
    <w:p w:rsidR="00BC2BCF" w:rsidRPr="00BF44EB" w:rsidRDefault="00BC2BCF" w:rsidP="00527799">
      <w:pPr>
        <w:spacing w:after="0" w:line="240" w:lineRule="auto"/>
        <w:jc w:val="both"/>
        <w:rPr>
          <w:rFonts w:ascii="Times New Roman" w:hAnsi="Times New Roman" w:cs="Times New Roman"/>
          <w:sz w:val="26"/>
          <w:szCs w:val="26"/>
        </w:rPr>
      </w:pPr>
    </w:p>
    <w:p w:rsidR="00BC2BCF" w:rsidRPr="00BF44EB" w:rsidRDefault="00BC2BCF" w:rsidP="00527799">
      <w:pPr>
        <w:spacing w:after="0" w:line="240" w:lineRule="auto"/>
        <w:jc w:val="both"/>
        <w:rPr>
          <w:rFonts w:ascii="Times New Roman" w:hAnsi="Times New Roman" w:cs="Times New Roman"/>
          <w:sz w:val="26"/>
          <w:szCs w:val="26"/>
        </w:rPr>
      </w:pPr>
    </w:p>
    <w:sectPr w:rsidR="00BC2BCF" w:rsidRPr="00BF4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E09"/>
    <w:multiLevelType w:val="hybridMultilevel"/>
    <w:tmpl w:val="EE1668FE"/>
    <w:lvl w:ilvl="0" w:tplc="DF2084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6E8"/>
    <w:multiLevelType w:val="multilevel"/>
    <w:tmpl w:val="608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17C69"/>
    <w:multiLevelType w:val="multilevel"/>
    <w:tmpl w:val="1C3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92586"/>
    <w:multiLevelType w:val="multilevel"/>
    <w:tmpl w:val="5DF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30618"/>
    <w:multiLevelType w:val="multilevel"/>
    <w:tmpl w:val="F6E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8313C"/>
    <w:multiLevelType w:val="multilevel"/>
    <w:tmpl w:val="AB5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E78DE"/>
    <w:multiLevelType w:val="multilevel"/>
    <w:tmpl w:val="488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67422"/>
    <w:multiLevelType w:val="multilevel"/>
    <w:tmpl w:val="239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A7F4B"/>
    <w:multiLevelType w:val="multilevel"/>
    <w:tmpl w:val="4F142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732E6"/>
    <w:multiLevelType w:val="multilevel"/>
    <w:tmpl w:val="BA9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A26C5"/>
    <w:multiLevelType w:val="multilevel"/>
    <w:tmpl w:val="20FE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16DD9"/>
    <w:multiLevelType w:val="multilevel"/>
    <w:tmpl w:val="FD0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A61AD"/>
    <w:multiLevelType w:val="multilevel"/>
    <w:tmpl w:val="08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F03ED"/>
    <w:multiLevelType w:val="multilevel"/>
    <w:tmpl w:val="A366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A47A2"/>
    <w:multiLevelType w:val="multilevel"/>
    <w:tmpl w:val="AC80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16BE9"/>
    <w:multiLevelType w:val="multilevel"/>
    <w:tmpl w:val="21E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581482">
    <w:abstractNumId w:val="5"/>
  </w:num>
  <w:num w:numId="2" w16cid:durableId="1219129319">
    <w:abstractNumId w:val="8"/>
  </w:num>
  <w:num w:numId="3" w16cid:durableId="1451977905">
    <w:abstractNumId w:val="6"/>
  </w:num>
  <w:num w:numId="4" w16cid:durableId="1252197117">
    <w:abstractNumId w:val="3"/>
  </w:num>
  <w:num w:numId="5" w16cid:durableId="1654870301">
    <w:abstractNumId w:val="9"/>
  </w:num>
  <w:num w:numId="6" w16cid:durableId="827215095">
    <w:abstractNumId w:val="1"/>
  </w:num>
  <w:num w:numId="7" w16cid:durableId="1677460914">
    <w:abstractNumId w:val="14"/>
  </w:num>
  <w:num w:numId="8" w16cid:durableId="1642149970">
    <w:abstractNumId w:val="4"/>
  </w:num>
  <w:num w:numId="9" w16cid:durableId="2064480408">
    <w:abstractNumId w:val="12"/>
  </w:num>
  <w:num w:numId="10" w16cid:durableId="853495780">
    <w:abstractNumId w:val="10"/>
  </w:num>
  <w:num w:numId="11" w16cid:durableId="520511577">
    <w:abstractNumId w:val="0"/>
  </w:num>
  <w:num w:numId="12" w16cid:durableId="1369257483">
    <w:abstractNumId w:val="13"/>
  </w:num>
  <w:num w:numId="13" w16cid:durableId="1086993447">
    <w:abstractNumId w:val="15"/>
  </w:num>
  <w:num w:numId="14" w16cid:durableId="1805541267">
    <w:abstractNumId w:val="11"/>
  </w:num>
  <w:num w:numId="15" w16cid:durableId="1641303058">
    <w:abstractNumId w:val="7"/>
  </w:num>
  <w:num w:numId="16" w16cid:durableId="73108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D"/>
    <w:rsid w:val="00314C8D"/>
    <w:rsid w:val="00487EDF"/>
    <w:rsid w:val="00527799"/>
    <w:rsid w:val="0060472F"/>
    <w:rsid w:val="00604C54"/>
    <w:rsid w:val="00622F0F"/>
    <w:rsid w:val="006D3A9C"/>
    <w:rsid w:val="00A1260D"/>
    <w:rsid w:val="00A65A1B"/>
    <w:rsid w:val="00B11154"/>
    <w:rsid w:val="00BC2BCF"/>
    <w:rsid w:val="00BF44E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FF43"/>
  <w15:chartTrackingRefBased/>
  <w15:docId w15:val="{7E03F37C-3A49-F144-9093-23606C9C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C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14C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14C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14C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C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C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14C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14C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14C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C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C8D"/>
    <w:rPr>
      <w:rFonts w:eastAsiaTheme="majorEastAsia" w:cstheme="majorBidi"/>
      <w:color w:val="272727" w:themeColor="text1" w:themeTint="D8"/>
    </w:rPr>
  </w:style>
  <w:style w:type="paragraph" w:styleId="Title">
    <w:name w:val="Title"/>
    <w:basedOn w:val="Normal"/>
    <w:next w:val="Normal"/>
    <w:link w:val="TitleChar"/>
    <w:uiPriority w:val="10"/>
    <w:qFormat/>
    <w:rsid w:val="00314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C8D"/>
    <w:pPr>
      <w:spacing w:before="160"/>
      <w:jc w:val="center"/>
    </w:pPr>
    <w:rPr>
      <w:i/>
      <w:iCs/>
      <w:color w:val="404040" w:themeColor="text1" w:themeTint="BF"/>
    </w:rPr>
  </w:style>
  <w:style w:type="character" w:customStyle="1" w:styleId="QuoteChar">
    <w:name w:val="Quote Char"/>
    <w:basedOn w:val="DefaultParagraphFont"/>
    <w:link w:val="Quote"/>
    <w:uiPriority w:val="29"/>
    <w:rsid w:val="00314C8D"/>
    <w:rPr>
      <w:i/>
      <w:iCs/>
      <w:color w:val="404040" w:themeColor="text1" w:themeTint="BF"/>
    </w:rPr>
  </w:style>
  <w:style w:type="paragraph" w:styleId="ListParagraph">
    <w:name w:val="List Paragraph"/>
    <w:basedOn w:val="Normal"/>
    <w:uiPriority w:val="34"/>
    <w:qFormat/>
    <w:rsid w:val="00314C8D"/>
    <w:pPr>
      <w:ind w:left="720"/>
      <w:contextualSpacing/>
    </w:pPr>
  </w:style>
  <w:style w:type="character" w:styleId="IntenseEmphasis">
    <w:name w:val="Intense Emphasis"/>
    <w:basedOn w:val="DefaultParagraphFont"/>
    <w:uiPriority w:val="21"/>
    <w:qFormat/>
    <w:rsid w:val="00314C8D"/>
    <w:rPr>
      <w:i/>
      <w:iCs/>
      <w:color w:val="2F5496" w:themeColor="accent1" w:themeShade="BF"/>
    </w:rPr>
  </w:style>
  <w:style w:type="paragraph" w:styleId="IntenseQuote">
    <w:name w:val="Intense Quote"/>
    <w:basedOn w:val="Normal"/>
    <w:next w:val="Normal"/>
    <w:link w:val="IntenseQuoteChar"/>
    <w:uiPriority w:val="30"/>
    <w:qFormat/>
    <w:rsid w:val="00314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C8D"/>
    <w:rPr>
      <w:i/>
      <w:iCs/>
      <w:color w:val="2F5496" w:themeColor="accent1" w:themeShade="BF"/>
    </w:rPr>
  </w:style>
  <w:style w:type="character" w:styleId="IntenseReference">
    <w:name w:val="Intense Reference"/>
    <w:basedOn w:val="DefaultParagraphFont"/>
    <w:uiPriority w:val="32"/>
    <w:qFormat/>
    <w:rsid w:val="00314C8D"/>
    <w:rPr>
      <w:b/>
      <w:bCs/>
      <w:smallCaps/>
      <w:color w:val="2F5496" w:themeColor="accent1" w:themeShade="BF"/>
      <w:spacing w:val="5"/>
    </w:rPr>
  </w:style>
  <w:style w:type="paragraph" w:styleId="NormalWeb">
    <w:name w:val="Normal (Web)"/>
    <w:basedOn w:val="Normal"/>
    <w:uiPriority w:val="99"/>
    <w:unhideWhenUsed/>
    <w:rsid w:val="00314C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4C8D"/>
    <w:rPr>
      <w:b/>
      <w:bCs/>
    </w:rPr>
  </w:style>
  <w:style w:type="paragraph" w:styleId="HTMLPreformatted">
    <w:name w:val="HTML Preformatted"/>
    <w:basedOn w:val="Normal"/>
    <w:link w:val="HTMLPreformattedChar"/>
    <w:uiPriority w:val="99"/>
    <w:semiHidden/>
    <w:unhideWhenUsed/>
    <w:rsid w:val="0031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14C8D"/>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314C8D"/>
    <w:rPr>
      <w:rFonts w:ascii="Courier New" w:eastAsia="Times New Roman" w:hAnsi="Courier New" w:cs="Courier New"/>
      <w:sz w:val="20"/>
      <w:szCs w:val="20"/>
    </w:rPr>
  </w:style>
  <w:style w:type="character" w:customStyle="1" w:styleId="hljs-operator">
    <w:name w:val="hljs-operator"/>
    <w:basedOn w:val="DefaultParagraphFont"/>
    <w:rsid w:val="00314C8D"/>
  </w:style>
  <w:style w:type="character" w:customStyle="1" w:styleId="hljs-punctuation">
    <w:name w:val="hljs-punctuation"/>
    <w:basedOn w:val="DefaultParagraphFont"/>
    <w:rsid w:val="00314C8D"/>
  </w:style>
  <w:style w:type="character" w:customStyle="1" w:styleId="hljs-builtin">
    <w:name w:val="hljs-built_in"/>
    <w:basedOn w:val="DefaultParagraphFont"/>
    <w:rsid w:val="00314C8D"/>
  </w:style>
  <w:style w:type="character" w:customStyle="1" w:styleId="hljs-attr">
    <w:name w:val="hljs-attr"/>
    <w:basedOn w:val="DefaultParagraphFont"/>
    <w:rsid w:val="00314C8D"/>
  </w:style>
  <w:style w:type="character" w:customStyle="1" w:styleId="hljs-number">
    <w:name w:val="hljs-number"/>
    <w:basedOn w:val="DefaultParagraphFont"/>
    <w:rsid w:val="00314C8D"/>
  </w:style>
  <w:style w:type="character" w:customStyle="1" w:styleId="katex-mathml">
    <w:name w:val="katex-mathml"/>
    <w:basedOn w:val="DefaultParagraphFont"/>
    <w:rsid w:val="00622F0F"/>
  </w:style>
  <w:style w:type="character" w:customStyle="1" w:styleId="mord">
    <w:name w:val="mord"/>
    <w:basedOn w:val="DefaultParagraphFont"/>
    <w:rsid w:val="00622F0F"/>
  </w:style>
  <w:style w:type="character" w:customStyle="1" w:styleId="mspace">
    <w:name w:val="mspace"/>
    <w:basedOn w:val="DefaultParagraphFont"/>
    <w:rsid w:val="00622F0F"/>
  </w:style>
  <w:style w:type="character" w:customStyle="1" w:styleId="mrel">
    <w:name w:val="mrel"/>
    <w:basedOn w:val="DefaultParagraphFont"/>
    <w:rsid w:val="00622F0F"/>
  </w:style>
  <w:style w:type="character" w:customStyle="1" w:styleId="vlist-s">
    <w:name w:val="vlist-s"/>
    <w:basedOn w:val="DefaultParagraphFont"/>
    <w:rsid w:val="00622F0F"/>
  </w:style>
  <w:style w:type="character" w:customStyle="1" w:styleId="mbin">
    <w:name w:val="mbin"/>
    <w:basedOn w:val="DefaultParagraphFont"/>
    <w:rsid w:val="00622F0F"/>
  </w:style>
  <w:style w:type="table" w:styleId="TableGrid">
    <w:name w:val="Table Grid"/>
    <w:basedOn w:val="TableNormal"/>
    <w:uiPriority w:val="39"/>
    <w:rsid w:val="0062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BCF"/>
    <w:rPr>
      <w:color w:val="0563C1" w:themeColor="hyperlink"/>
      <w:u w:val="single"/>
    </w:rPr>
  </w:style>
  <w:style w:type="character" w:styleId="UnresolvedMention">
    <w:name w:val="Unresolved Mention"/>
    <w:basedOn w:val="DefaultParagraphFont"/>
    <w:uiPriority w:val="99"/>
    <w:semiHidden/>
    <w:unhideWhenUsed/>
    <w:rsid w:val="00BC2BCF"/>
    <w:rPr>
      <w:color w:val="605E5C"/>
      <w:shd w:val="clear" w:color="auto" w:fill="E1DFDD"/>
    </w:rPr>
  </w:style>
  <w:style w:type="character" w:customStyle="1" w:styleId="ms-1">
    <w:name w:val="ms-1"/>
    <w:basedOn w:val="DefaultParagraphFont"/>
    <w:rsid w:val="00BF44EB"/>
  </w:style>
  <w:style w:type="character" w:customStyle="1" w:styleId="max-w-full">
    <w:name w:val="max-w-full"/>
    <w:basedOn w:val="DefaultParagraphFont"/>
    <w:rsid w:val="00BF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nnapass.com/phan-phoi-loi-nhuan-cua-doanh-ngh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psme.vn/cac-chi-so-tai-chinh" TargetMode="External"/><Relationship Id="rId5" Type="http://schemas.openxmlformats.org/officeDocument/2006/relationships/hyperlink" Target="https://amis.misa.vn/114679/cac-nhom-chi-so-chinh-phan-tich-bao-cao-tai-chinh-trong-doanh-nghi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2025-09-03T07:19:00Z</dcterms:created>
  <dcterms:modified xsi:type="dcterms:W3CDTF">2025-09-03T08:43:00Z</dcterms:modified>
</cp:coreProperties>
</file>