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0990" w14:textId="008410D2" w:rsidR="00B22EB4" w:rsidRPr="00B22EB4" w:rsidRDefault="00B22EB4" w:rsidP="00B22EB4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08 QUY ĐỊNH MỚI VỀ THUẾ CÓ HIỆU LỰC TỪ 01/7/2025</w:t>
      </w:r>
    </w:p>
    <w:p w14:paraId="0BF7A571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(1)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Thay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đổi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lớn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mã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ngày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01/7/2025</w:t>
      </w:r>
    </w:p>
    <w:p w14:paraId="3692A882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Theo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2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38 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"https://thuvienphapluat.vn/van-ban/Thue-Phi-Le-Phi/Thong-tu-86-2024-TT-BTC-dang-ky-thue-565309.aspx?anchor=dieu_38"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tư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86/2024/TT-BTC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do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cấp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đình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ngày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30/6/2025. </w:t>
      </w:r>
    </w:p>
    <w:p w14:paraId="33574F81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ngày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01/7/2025,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35 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"https://thuvienphapluat.vn/van-ban/Thue-Phi-Le-Phi/Luat-quan-ly-thue-2019-387595.aspx"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2019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3791DE42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*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mới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hiệu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lực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01/7/2025</w:t>
      </w:r>
    </w:p>
    <w:p w14:paraId="72084E02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(2)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chỉnh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tượng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không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GTGT:</w:t>
      </w:r>
    </w:p>
    <w:p w14:paraId="43A5A03B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4" w:tgtFrame="_blank" w:history="1"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Luật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Thuế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giá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trị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gia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tăng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2024</w:t>
        </w:r>
      </w:hyperlink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bỏ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tượng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GTGT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bón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máy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móc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thiết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nghiệp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tàu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đánh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bắt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bờ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lưu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trung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tâm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...</w:t>
      </w:r>
    </w:p>
    <w:p w14:paraId="4400DADD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Ngoài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ra,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phẩm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miễn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thuộc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do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 </w:t>
      </w:r>
    </w:p>
    <w:p w14:paraId="6FD92B8C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5" w:tgtFrame="_blank" w:history="1"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Luật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Thuế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giá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trị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gia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>tăng</w:t>
        </w:r>
        <w:proofErr w:type="spellEnd"/>
        <w:r w:rsidRPr="00B22EB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</w:rPr>
          <w:t xml:space="preserve"> 2024</w:t>
        </w:r>
      </w:hyperlink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miễn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dùng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ủng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chống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tai,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bệnh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chiến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79687CD6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(3) 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Sửa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đổi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khẩu</w:t>
      </w:r>
      <w:proofErr w:type="spellEnd"/>
    </w:p>
    <w:p w14:paraId="388A1BFF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nay,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7 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"https://thuvienphapluat.vn/van-ban/Thue-Phi-Le-Phi/Luat-thue-gia-tri-gia-tang-2008-13-2008-QH12-66934.aspx"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2008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tiêu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biệt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vệ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môi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).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br/>
        <w:t> </w:t>
      </w:r>
    </w:p>
    <w:p w14:paraId="2560E206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7 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đổi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tiêu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biệt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vệ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môi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).</w:t>
      </w:r>
    </w:p>
    <w:p w14:paraId="10CBD899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(4)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Hướng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dẫn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cụ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thể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GTGT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sai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sót</w:t>
      </w:r>
      <w:proofErr w:type="spellEnd"/>
    </w:p>
    <w:p w14:paraId="774125F1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đây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kê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sót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thì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"https://thuvienphapluat.vn/van-ban/Thue-Phi-Le-Phi/Luat-thue-gia-tri-gia-tang-2008-13-2008-QH12-66934.aspx"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2008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hướng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dẫn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kê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kiểm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19598FE1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Theo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điểm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đ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14 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kê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sót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thì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thẩm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kiểm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như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14:paraId="1BF171FF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hoàn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thêm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hồi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hoàn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tương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chậm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). </w:t>
      </w:r>
    </w:p>
    <w:p w14:paraId="18AF1383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còn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chuyển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sang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0F8C5432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(5)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hoàn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</w:p>
    <w:p w14:paraId="1586C035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Theo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14 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đây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hoàn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14:paraId="6D887403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cung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GTGT 5%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GTGT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chưa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300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triệu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đồng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12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04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thì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hoàn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GTGT.</w:t>
      </w:r>
    </w:p>
    <w:p w14:paraId="26D7913A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(6)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Thay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đổi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kiện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GTGT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vào</w:t>
      </w:r>
      <w:proofErr w:type="spellEnd"/>
    </w:p>
    <w:p w14:paraId="36EB148B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01/7/2025,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mọi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toán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dùng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mặt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dưới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20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triệu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đồng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thù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20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triệu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737FF45B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Ngoài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ra,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như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phiếu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đóng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gói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vận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hiểm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căn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cứ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khấu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trừ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 </w:t>
      </w:r>
    </w:p>
    <w:p w14:paraId="0ECE3B6D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Khoản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2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14 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</w:t>
      </w:r>
    </w:p>
    <w:p w14:paraId="18CA7B86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lastRenderedPageBreak/>
        <w:t>(7) 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chỉnh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vụ</w:t>
      </w:r>
      <w:proofErr w:type="spellEnd"/>
    </w:p>
    <w:p w14:paraId="2AF17CA0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9 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chỉnh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như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14:paraId="0D46E1C4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7.1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thêm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một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số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tượng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0%</w:t>
      </w:r>
    </w:p>
    <w:p w14:paraId="734FD54C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thêm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tượng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0%,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14:paraId="58B6AE2F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Vận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quốc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7345185D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xây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dựng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lắp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đặt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ở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ngoài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phi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3CC49914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ngoài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Nam)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làm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cảnh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bán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miễn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5D316051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thuê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phương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vận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ngoài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phạm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vi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lãnh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Nam;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ngành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cung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tiếp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vận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quốc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hoặc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qua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4A48EB47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7.2.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phẩm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không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chuyển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sang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5%</w:t>
      </w:r>
    </w:p>
    <w:p w14:paraId="6A76D330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bón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6B90D4D1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Tàu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thủy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vùng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biển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2E4143D9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7.3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phẩm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suất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5%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chuyển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 xml:space="preserve"> sang 10%</w:t>
      </w:r>
    </w:p>
    <w:p w14:paraId="18D4A14B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Lâm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chưa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qua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303C7C56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phẩm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bao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gỉ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đường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bùn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;</w:t>
      </w:r>
    </w:p>
    <w:p w14:paraId="1B7AAAAA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loại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thiết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dùng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thí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nghiệm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khoa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học</w:t>
      </w:r>
      <w:proofErr w:type="spellEnd"/>
    </w:p>
    <w:p w14:paraId="4BF1F0CF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văn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triển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biểu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diễn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nghệ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phim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chiếu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phim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1BAFFFC1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</w:rPr>
        <w:t>(8) 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khuyến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mại</w:t>
      </w:r>
      <w:proofErr w:type="spellEnd"/>
    </w:p>
    <w:p w14:paraId="49F35EB0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7 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"https://thuvienphapluat.vn/van-ban/Thue-Phi-Le-Phi/Luat-Thue-gia-tri-gia-tang-2024-so-48-2024-QH15-556390.aspx"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trị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tăng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GTGT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bằng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0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dùng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để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khuyến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thương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18845C08" w14:textId="77777777" w:rsidR="00B22EB4" w:rsidRPr="00B22EB4" w:rsidRDefault="00B22EB4" w:rsidP="00B22EB4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2.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t>thuế</w:t>
      </w:r>
      <w:proofErr w:type="spellEnd"/>
    </w:p>
    <w:p w14:paraId="28CB6D6F" w14:textId="77777777" w:rsidR="00B22EB4" w:rsidRPr="00B22EB4" w:rsidRDefault="00B22EB4" w:rsidP="00B22EB4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nêu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rõ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5 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"https://thuvienphapluat.vn/van-ban/Thue-Phi-Le-Phi/Luat-quan-ly-thue-2019-387595.aspx"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2019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(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sửa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đổi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sung 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instrText xml:space="preserve"> HYPERLINK "https://thuvienphapluat.vn/van-ban/Thue-Phi-Le-Phi/Luat-sua-doi-Luat-Chung-khoan-Ke-toan-Ngan-sach-Nha-nuoc-Thue-thu-nhap-ca-nhan-2024-622318.aspx?anchor=khoan_1_6" \t "_blank" </w:instrTex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năm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2024</w:t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)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như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 </w:t>
      </w:r>
    </w:p>
    <w:p w14:paraId="1F31FC97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Mọi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đình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doanh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nghĩa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5BB3E859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nhiệm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này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khai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bình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đẳng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ích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1FE580B7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chịu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nhiệm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hồ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phạm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vi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hồ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tài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liệu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cung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cấp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sở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dữ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liệu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nước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thẩm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quyền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cung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cấp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nộp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rủi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đảm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đúng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nhiệm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tuân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4287B2EA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tổ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chức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nhân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nhiệm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tham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6AE78AF4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ứng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nghệ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đại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;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lệ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quốc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có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hoạt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động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giao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dịch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quyết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nghĩa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vụ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rủi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quản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lý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nguyên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tắc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phù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điều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Việt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Nam.</w:t>
      </w:r>
    </w:p>
    <w:p w14:paraId="4FCAAB93" w14:textId="77777777" w:rsidR="00B22EB4" w:rsidRPr="00B22EB4" w:rsidRDefault="00B22EB4" w:rsidP="00B22EB4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-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ưu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tiên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thực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hiện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tục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thuế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đối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hàng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hóa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xuất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nhập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khẩu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theo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pháp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luật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hải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quy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định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Chính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phủ</w:t>
      </w:r>
      <w:proofErr w:type="spellEnd"/>
      <w:r w:rsidRPr="00B22EB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7506C9A7" w14:textId="06D3B3F9" w:rsidR="00B22EB4" w:rsidRPr="00B22EB4" w:rsidRDefault="00B22EB4" w:rsidP="00B22EB4">
      <w:pPr>
        <w:jc w:val="right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</w:rPr>
        <w:t>GV</w:t>
      </w:r>
      <w:r>
        <w:rPr>
          <w:rFonts w:ascii="Times New Roman" w:hAnsi="Times New Roman" w:cs="Times New Roman"/>
          <w:color w:val="000000" w:themeColor="text1"/>
          <w:lang w:val="vi-VN"/>
        </w:rPr>
        <w:t>_ Nguyễn Thị Đoan Trang</w:t>
      </w:r>
    </w:p>
    <w:sectPr w:rsidR="00B22EB4" w:rsidRPr="00B22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B4"/>
    <w:rsid w:val="00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038A7"/>
  <w15:chartTrackingRefBased/>
  <w15:docId w15:val="{551F5C73-86D0-C848-985B-34C7B97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2E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2E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22E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E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22E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e-Phi-Le-Phi/Luat-Thue-gia-tri-gia-tang-2024-so-48-2024-QH15-556390.aspx" TargetMode="External"/><Relationship Id="rId4" Type="http://schemas.openxmlformats.org/officeDocument/2006/relationships/hyperlink" Target="https://thuvienphapluat.vn/van-ban/Thue-Phi-Le-Phi/Luat-Thue-gia-tri-gia-tang-2024-so-48-2024-QH15-55639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2025-07-16T01:00:00Z</dcterms:created>
  <dcterms:modified xsi:type="dcterms:W3CDTF">2025-07-16T01:03:00Z</dcterms:modified>
</cp:coreProperties>
</file>