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63E3" w14:textId="36A77D06" w:rsidR="0090207F" w:rsidRPr="0090207F" w:rsidRDefault="0090207F" w:rsidP="0090207F">
      <w:pPr>
        <w:spacing w:beforeLines="60" w:before="144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9020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HẠCH TOÁN THANH LÝ TÀI SẢN CỐ ĐỊNH CHI TIẾT NHẤT 2025</w:t>
      </w:r>
    </w:p>
    <w:p w14:paraId="1CEF1084" w14:textId="4C16B5E1" w:rsidR="0090207F" w:rsidRPr="0090207F" w:rsidRDefault="0090207F" w:rsidP="0090207F">
      <w:pPr>
        <w:spacing w:beforeLines="60" w:before="144" w:after="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Hướng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dẫn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cách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hạch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tiết</w:t>
      </w:r>
      <w:proofErr w:type="spellEnd"/>
    </w:p>
    <w:p w14:paraId="1A5952A0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Hạch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chuẩn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đảm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tuân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thủ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Đầu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tiên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ghi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khoản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loại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bỏ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khỏi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sổ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Tiếp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ghi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khoản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hoặc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khoản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tương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ứng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Cuối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cùng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đối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chiếu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liệu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đảm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có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sót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trong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chính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3A1AB1BF" w14:textId="77777777" w:rsidR="0090207F" w:rsidRPr="0090207F" w:rsidRDefault="0090207F" w:rsidP="0090207F">
      <w:pPr>
        <w:pStyle w:val="Heading3"/>
        <w:spacing w:beforeLines="60" w:before="144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1.1 Thanh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dùng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cho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xuất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kinh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doanh</w:t>
      </w:r>
      <w:proofErr w:type="spellEnd"/>
    </w:p>
    <w:p w14:paraId="2D21B84A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b/>
          <w:bCs/>
          <w:color w:val="000000" w:themeColor="text1"/>
          <w:sz w:val="26"/>
          <w:szCs w:val="26"/>
        </w:rPr>
      </w:pPr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Khi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hạch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cố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định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trong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quá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trình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kinh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doanh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cần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tuân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thủ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các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nguyên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tắc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b w:val="0"/>
          <w:bCs w:val="0"/>
          <w:color w:val="000000" w:themeColor="text1"/>
          <w:sz w:val="26"/>
          <w:szCs w:val="26"/>
        </w:rPr>
        <w:t>:</w:t>
      </w:r>
    </w:p>
    <w:p w14:paraId="01A7C8CD" w14:textId="77777777" w:rsidR="0090207F" w:rsidRPr="0090207F" w:rsidRDefault="0090207F" w:rsidP="0090207F">
      <w:pPr>
        <w:numPr>
          <w:ilvl w:val="0"/>
          <w:numId w:val="1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90207F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hạch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khấu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211)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lũy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khấu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214).</w:t>
      </w:r>
    </w:p>
    <w:p w14:paraId="1CCF12C1" w14:textId="77777777" w:rsidR="0090207F" w:rsidRPr="0090207F" w:rsidRDefault="0090207F" w:rsidP="0090207F">
      <w:pPr>
        <w:numPr>
          <w:ilvl w:val="0"/>
          <w:numId w:val="1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Thu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711 –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0F2505" w14:textId="77777777" w:rsidR="0090207F" w:rsidRPr="0090207F" w:rsidRDefault="0090207F" w:rsidP="0090207F">
      <w:pPr>
        <w:numPr>
          <w:ilvl w:val="0"/>
          <w:numId w:val="1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811 –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0C0AEC" w14:textId="77777777" w:rsidR="0090207F" w:rsidRPr="0090207F" w:rsidRDefault="0090207F" w:rsidP="0090207F">
      <w:pPr>
        <w:numPr>
          <w:ilvl w:val="0"/>
          <w:numId w:val="1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khấu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hạch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811.</w:t>
      </w:r>
    </w:p>
    <w:p w14:paraId="500BB04A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>Theo</w:t>
      </w:r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Điều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38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của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Thông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200/2014/TT-BTC</w:t>
      </w:r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nếu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chưa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khấu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hao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đủ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hư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hỏng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phải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cần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nguyên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nhân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nhiệm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bồi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thường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Nếu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hồi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còn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lại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phần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này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bù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đắp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bằng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với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bồi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thường</w:t>
      </w:r>
      <w:proofErr w:type="spellEnd"/>
      <w:r w:rsidRPr="0090207F">
        <w:rPr>
          <w:color w:val="000000" w:themeColor="text1"/>
          <w:sz w:val="26"/>
          <w:szCs w:val="26"/>
        </w:rPr>
        <w:t xml:space="preserve"> do </w:t>
      </w:r>
      <w:proofErr w:type="spellStart"/>
      <w:r w:rsidRPr="0090207F">
        <w:rPr>
          <w:color w:val="000000" w:themeColor="text1"/>
          <w:sz w:val="26"/>
          <w:szCs w:val="26"/>
        </w:rPr>
        <w:t>lãnh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quyết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6B76D555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 xml:space="preserve">Khi </w:t>
      </w:r>
      <w:proofErr w:type="spellStart"/>
      <w:r w:rsidRPr="0090207F">
        <w:rPr>
          <w:color w:val="000000" w:themeColor="text1"/>
          <w:sz w:val="26"/>
          <w:szCs w:val="26"/>
        </w:rPr>
        <w:t>số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bồi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thường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đủ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bù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đắp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còn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lại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phần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chênh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lệch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lỗ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hoạt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động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khoản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khác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Đối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với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nước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hành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nước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48E2FE89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Đối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với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các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khoản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nhập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hạch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TCSĐ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</w:t>
      </w:r>
    </w:p>
    <w:p w14:paraId="474BB3E6" w14:textId="77777777" w:rsidR="0090207F" w:rsidRPr="0090207F" w:rsidRDefault="0090207F" w:rsidP="0090207F">
      <w:pPr>
        <w:numPr>
          <w:ilvl w:val="0"/>
          <w:numId w:val="2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111, 112, </w:t>
      </w:r>
      <w:proofErr w:type="gram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131,…</w:t>
      </w:r>
      <w:proofErr w:type="gram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414822" w14:textId="77777777" w:rsidR="0090207F" w:rsidRPr="0090207F" w:rsidRDefault="0090207F" w:rsidP="0090207F">
      <w:pPr>
        <w:numPr>
          <w:ilvl w:val="0"/>
          <w:numId w:val="2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711: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GTGT).</w:t>
      </w:r>
    </w:p>
    <w:p w14:paraId="6979286D" w14:textId="77777777" w:rsidR="0090207F" w:rsidRPr="0090207F" w:rsidRDefault="0090207F" w:rsidP="0090207F">
      <w:pPr>
        <w:numPr>
          <w:ilvl w:val="0"/>
          <w:numId w:val="2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33311: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GTGT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10C2E6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Đồng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thời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cũng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cần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ghi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giảm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nguyên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giá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định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hữu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hình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</w:t>
      </w:r>
    </w:p>
    <w:p w14:paraId="6611E192" w14:textId="77777777" w:rsidR="0090207F" w:rsidRPr="0090207F" w:rsidRDefault="0090207F" w:rsidP="0090207F">
      <w:pPr>
        <w:numPr>
          <w:ilvl w:val="0"/>
          <w:numId w:val="3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TK 214: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078D15" w14:textId="77777777" w:rsidR="0090207F" w:rsidRPr="0090207F" w:rsidRDefault="0090207F" w:rsidP="0090207F">
      <w:pPr>
        <w:numPr>
          <w:ilvl w:val="0"/>
          <w:numId w:val="3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TK 811: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BC3FCF" w14:textId="77777777" w:rsidR="0090207F" w:rsidRPr="0090207F" w:rsidRDefault="0090207F" w:rsidP="0090207F">
      <w:pPr>
        <w:numPr>
          <w:ilvl w:val="0"/>
          <w:numId w:val="3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TK 211: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E8D897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rStyle w:val="Strong"/>
          <w:color w:val="000000" w:themeColor="text1"/>
          <w:sz w:val="26"/>
          <w:szCs w:val="26"/>
        </w:rPr>
        <w:t xml:space="preserve">Khi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phát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sinh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phí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liên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quan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đến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hoạt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động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định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ghi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nhận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hạch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TCSĐ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</w:t>
      </w:r>
    </w:p>
    <w:p w14:paraId="5ECA0460" w14:textId="77777777" w:rsidR="0090207F" w:rsidRPr="0090207F" w:rsidRDefault="0090207F" w:rsidP="0090207F">
      <w:pPr>
        <w:numPr>
          <w:ilvl w:val="0"/>
          <w:numId w:val="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811: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16C9E5" w14:textId="77777777" w:rsidR="0090207F" w:rsidRPr="0090207F" w:rsidRDefault="0090207F" w:rsidP="0090207F">
      <w:pPr>
        <w:numPr>
          <w:ilvl w:val="0"/>
          <w:numId w:val="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111, </w:t>
      </w:r>
      <w:proofErr w:type="gram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112,…</w:t>
      </w:r>
      <w:proofErr w:type="gram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04C02B4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Lưu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ý:</w:t>
      </w:r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sửa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chữa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nhằm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mục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đích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hoặc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phát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sinh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quyết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đưa</w:t>
      </w:r>
      <w:proofErr w:type="spellEnd"/>
      <w:r w:rsidRPr="0090207F">
        <w:rPr>
          <w:color w:val="000000" w:themeColor="text1"/>
          <w:sz w:val="26"/>
          <w:szCs w:val="26"/>
        </w:rPr>
        <w:t xml:space="preserve"> ra, </w:t>
      </w:r>
      <w:proofErr w:type="spellStart"/>
      <w:r w:rsidRPr="0090207F">
        <w:rPr>
          <w:color w:val="000000" w:themeColor="text1"/>
          <w:sz w:val="26"/>
          <w:szCs w:val="26"/>
        </w:rPr>
        <w:t>sẽ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khoản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811. </w:t>
      </w:r>
      <w:proofErr w:type="spellStart"/>
      <w:r w:rsidRPr="0090207F">
        <w:rPr>
          <w:color w:val="000000" w:themeColor="text1"/>
          <w:sz w:val="26"/>
          <w:szCs w:val="26"/>
        </w:rPr>
        <w:t>Không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nhầm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lẫn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với</w:t>
      </w:r>
      <w:proofErr w:type="spellEnd"/>
      <w:r w:rsidRPr="0090207F">
        <w:rPr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sửa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chữa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đang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trong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4F1062D2" w14:textId="77777777" w:rsidR="0090207F" w:rsidRPr="0090207F" w:rsidRDefault="0090207F" w:rsidP="0090207F">
      <w:pPr>
        <w:pStyle w:val="Heading3"/>
        <w:spacing w:beforeLines="60" w:before="144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1.2 Thanh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dùng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cho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nội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bộ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dự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án</w:t>
      </w:r>
      <w:proofErr w:type="spellEnd"/>
    </w:p>
    <w:p w14:paraId="42ABEB4E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Đối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với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thành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kinh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sự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kinh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dự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ngân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nước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trợ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hoạt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động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sự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kế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sử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dụng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khoản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466</w:t>
      </w:r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ánh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khoản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color w:val="000000" w:themeColor="text1"/>
          <w:sz w:val="26"/>
          <w:szCs w:val="26"/>
        </w:rPr>
        <w:t>liên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quan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đến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nhượng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bán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đó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586EE115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Trong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sử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trong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nội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bộ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dự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án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dựa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Biên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giao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TSCĐ, </w:t>
      </w:r>
      <w:proofErr w:type="spellStart"/>
      <w:r w:rsidRPr="0090207F">
        <w:rPr>
          <w:color w:val="000000" w:themeColor="text1"/>
          <w:sz w:val="26"/>
          <w:szCs w:val="26"/>
        </w:rPr>
        <w:t>kế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bước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đây</w:t>
      </w:r>
      <w:proofErr w:type="spellEnd"/>
      <w:r w:rsidRPr="0090207F">
        <w:rPr>
          <w:color w:val="000000" w:themeColor="text1"/>
          <w:sz w:val="26"/>
          <w:szCs w:val="26"/>
        </w:rPr>
        <w:t>:</w:t>
      </w:r>
    </w:p>
    <w:p w14:paraId="30BDC2FD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Ghi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giảm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đã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hạch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TCSĐ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0207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::</w:t>
      </w:r>
      <w:proofErr w:type="gramEnd"/>
    </w:p>
    <w:p w14:paraId="7AEE2E03" w14:textId="77777777" w:rsidR="0090207F" w:rsidRPr="0090207F" w:rsidRDefault="0090207F" w:rsidP="0090207F">
      <w:pPr>
        <w:numPr>
          <w:ilvl w:val="0"/>
          <w:numId w:val="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466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200):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681B95" w14:textId="77777777" w:rsidR="0090207F" w:rsidRPr="0090207F" w:rsidRDefault="0090207F" w:rsidP="0090207F">
      <w:pPr>
        <w:numPr>
          <w:ilvl w:val="0"/>
          <w:numId w:val="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214: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F6EB96" w14:textId="77777777" w:rsidR="0090207F" w:rsidRPr="0090207F" w:rsidRDefault="0090207F" w:rsidP="0090207F">
      <w:pPr>
        <w:numPr>
          <w:ilvl w:val="0"/>
          <w:numId w:val="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B8A5C6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Phản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ánh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tiền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đã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về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từ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TSCĐ,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hạch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TCSĐ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0207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::</w:t>
      </w:r>
      <w:proofErr w:type="gramEnd"/>
    </w:p>
    <w:p w14:paraId="7FBC4CF5" w14:textId="77777777" w:rsidR="0090207F" w:rsidRPr="0090207F" w:rsidRDefault="0090207F" w:rsidP="0090207F">
      <w:pPr>
        <w:numPr>
          <w:ilvl w:val="0"/>
          <w:numId w:val="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111, </w:t>
      </w:r>
      <w:proofErr w:type="gram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112,…</w:t>
      </w:r>
      <w:proofErr w:type="gram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TSCĐ.</w:t>
      </w:r>
    </w:p>
    <w:p w14:paraId="75E13D66" w14:textId="77777777" w:rsidR="0090207F" w:rsidRPr="0090207F" w:rsidRDefault="0090207F" w:rsidP="0090207F">
      <w:pPr>
        <w:numPr>
          <w:ilvl w:val="0"/>
          <w:numId w:val="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466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200):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TSCĐ.</w:t>
      </w:r>
    </w:p>
    <w:p w14:paraId="5CFD6F8F" w14:textId="77777777" w:rsidR="0090207F" w:rsidRPr="0090207F" w:rsidRDefault="0090207F" w:rsidP="0090207F">
      <w:pPr>
        <w:numPr>
          <w:ilvl w:val="0"/>
          <w:numId w:val="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3331: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01ADA462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Phản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ánh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tiền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phí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phát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sinh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từ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TSCĐ,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hạch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TCSĐ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0207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</w:t>
      </w:r>
      <w:r w:rsidRPr="0090207F">
        <w:rPr>
          <w:color w:val="000000" w:themeColor="text1"/>
          <w:sz w:val="26"/>
          <w:szCs w:val="26"/>
        </w:rPr>
        <w:t>:</w:t>
      </w:r>
      <w:proofErr w:type="gramEnd"/>
    </w:p>
    <w:p w14:paraId="7D87F87F" w14:textId="77777777" w:rsidR="0090207F" w:rsidRPr="0090207F" w:rsidRDefault="0090207F" w:rsidP="0090207F">
      <w:pPr>
        <w:numPr>
          <w:ilvl w:val="0"/>
          <w:numId w:val="7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466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200):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TSCĐ.</w:t>
      </w:r>
    </w:p>
    <w:p w14:paraId="6455297B" w14:textId="77777777" w:rsidR="0090207F" w:rsidRPr="0090207F" w:rsidRDefault="0090207F" w:rsidP="0090207F">
      <w:pPr>
        <w:numPr>
          <w:ilvl w:val="0"/>
          <w:numId w:val="7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111, </w:t>
      </w:r>
      <w:proofErr w:type="gram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112,…</w:t>
      </w:r>
      <w:proofErr w:type="gram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TSCĐ.</w:t>
      </w:r>
    </w:p>
    <w:p w14:paraId="32254281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lastRenderedPageBreak/>
        <w:t>Đây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thủ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tục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cụ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đảm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minh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trong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TSCĐ, </w:t>
      </w:r>
      <w:proofErr w:type="spellStart"/>
      <w:r w:rsidRPr="0090207F">
        <w:rPr>
          <w:color w:val="000000" w:themeColor="text1"/>
          <w:sz w:val="26"/>
          <w:szCs w:val="26"/>
        </w:rPr>
        <w:t>giúp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nguồn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kinh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5A751B24" w14:textId="77777777" w:rsidR="0090207F" w:rsidRPr="0090207F" w:rsidRDefault="0090207F" w:rsidP="0090207F">
      <w:pPr>
        <w:pStyle w:val="Heading3"/>
        <w:spacing w:beforeLines="60" w:before="144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1.3 Thanh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dùng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cho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phúc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lợi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văn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hóa</w:t>
      </w:r>
      <w:proofErr w:type="spellEnd"/>
    </w:p>
    <w:p w14:paraId="599F0A78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khoản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color w:val="000000" w:themeColor="text1"/>
          <w:sz w:val="26"/>
          <w:szCs w:val="26"/>
        </w:rPr>
        <w:t>khi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(TSCĐ) </w:t>
      </w:r>
      <w:proofErr w:type="spellStart"/>
      <w:r w:rsidRPr="0090207F">
        <w:rPr>
          <w:color w:val="000000" w:themeColor="text1"/>
          <w:sz w:val="26"/>
          <w:szCs w:val="26"/>
        </w:rPr>
        <w:t>sử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hoạt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động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văn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hóa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phúc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lợi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người</w:t>
      </w:r>
      <w:proofErr w:type="spellEnd"/>
      <w:r w:rsidRPr="0090207F">
        <w:rPr>
          <w:color w:val="000000" w:themeColor="text1"/>
          <w:sz w:val="26"/>
          <w:szCs w:val="26"/>
        </w:rPr>
        <w:t xml:space="preserve"> lao </w:t>
      </w:r>
      <w:proofErr w:type="spellStart"/>
      <w:r w:rsidRPr="0090207F">
        <w:rPr>
          <w:color w:val="000000" w:themeColor="text1"/>
          <w:sz w:val="26"/>
          <w:szCs w:val="26"/>
        </w:rPr>
        <w:t>động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ánh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khoản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353 –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Quỹ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khen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thưởng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hay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phúc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lợi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.</w:t>
      </w:r>
    </w:p>
    <w:p w14:paraId="456187FE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 xml:space="preserve">Khi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tiến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hành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dùng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hoạt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động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văn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hóa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phúc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lợi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dựa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Biên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giao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TSCĐ,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như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>:</w:t>
      </w:r>
    </w:p>
    <w:p w14:paraId="49AAF26A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Ghi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giảm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đã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</w:t>
      </w:r>
    </w:p>
    <w:p w14:paraId="3E22AFDD" w14:textId="77777777" w:rsidR="0090207F" w:rsidRPr="0090207F" w:rsidRDefault="0090207F" w:rsidP="0090207F">
      <w:pPr>
        <w:numPr>
          <w:ilvl w:val="0"/>
          <w:numId w:val="8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3533: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</w:p>
    <w:p w14:paraId="53C18594" w14:textId="77777777" w:rsidR="0090207F" w:rsidRPr="0090207F" w:rsidRDefault="0090207F" w:rsidP="0090207F">
      <w:pPr>
        <w:numPr>
          <w:ilvl w:val="0"/>
          <w:numId w:val="8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214: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</w:p>
    <w:p w14:paraId="422E65DE" w14:textId="77777777" w:rsidR="0090207F" w:rsidRPr="0090207F" w:rsidRDefault="0090207F" w:rsidP="0090207F">
      <w:pPr>
        <w:numPr>
          <w:ilvl w:val="0"/>
          <w:numId w:val="8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</w:p>
    <w:p w14:paraId="0906CD18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Phản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ánh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tiền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đã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về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từ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TSCĐ:</w:t>
      </w:r>
    </w:p>
    <w:p w14:paraId="64F6C438" w14:textId="77777777" w:rsidR="0090207F" w:rsidRPr="0090207F" w:rsidRDefault="0090207F" w:rsidP="0090207F">
      <w:pPr>
        <w:numPr>
          <w:ilvl w:val="0"/>
          <w:numId w:val="9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111, 112, …: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TSCĐ.</w:t>
      </w:r>
    </w:p>
    <w:p w14:paraId="69D28284" w14:textId="77777777" w:rsidR="0090207F" w:rsidRPr="0090207F" w:rsidRDefault="0090207F" w:rsidP="0090207F">
      <w:pPr>
        <w:numPr>
          <w:ilvl w:val="0"/>
          <w:numId w:val="9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3532: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phúc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BE5EA8D" w14:textId="77777777" w:rsidR="0090207F" w:rsidRPr="0090207F" w:rsidRDefault="0090207F" w:rsidP="0090207F">
      <w:pPr>
        <w:numPr>
          <w:ilvl w:val="0"/>
          <w:numId w:val="9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3331: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4E6412F1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Phản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ánh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tiền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phí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phát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sinh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từ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TSCĐ:</w:t>
      </w:r>
    </w:p>
    <w:p w14:paraId="70377AB8" w14:textId="77777777" w:rsidR="0090207F" w:rsidRPr="0090207F" w:rsidRDefault="0090207F" w:rsidP="0090207F">
      <w:pPr>
        <w:numPr>
          <w:ilvl w:val="0"/>
          <w:numId w:val="10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3532: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TSCĐ.</w:t>
      </w:r>
    </w:p>
    <w:p w14:paraId="1B6BD683" w14:textId="77777777" w:rsidR="0090207F" w:rsidRPr="0090207F" w:rsidRDefault="0090207F" w:rsidP="0090207F">
      <w:pPr>
        <w:numPr>
          <w:ilvl w:val="0"/>
          <w:numId w:val="10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111, 112, …: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TSCĐ.</w:t>
      </w:r>
    </w:p>
    <w:p w14:paraId="13112833" w14:textId="77777777" w:rsidR="0090207F" w:rsidRPr="0090207F" w:rsidRDefault="0090207F" w:rsidP="0090207F">
      <w:pPr>
        <w:pStyle w:val="Heading3"/>
        <w:spacing w:beforeLines="60" w:before="144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1.4 Thanh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khi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thực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hiện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phá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dỡ</w:t>
      </w:r>
      <w:proofErr w:type="spellEnd"/>
      <w:r w:rsidRPr="009020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TSCĐ</w:t>
      </w:r>
    </w:p>
    <w:p w14:paraId="143FE061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 xml:space="preserve">Theo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tại</w:t>
      </w:r>
      <w:proofErr w:type="spellEnd"/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Điều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4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Khoản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1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của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Thông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45/2013/TT-BTC</w:t>
      </w:r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khi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bỏ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hoặc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hủy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bỏ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cửa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kiến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trúc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gắn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liền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với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đất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mua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hữu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hình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giá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đất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phải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riêng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biệt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vô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hình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miễn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đáp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ứng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tiêu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chuẩn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tại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điểm</w:t>
      </w:r>
      <w:proofErr w:type="spellEnd"/>
      <w:r w:rsidRPr="0090207F">
        <w:rPr>
          <w:color w:val="000000" w:themeColor="text1"/>
          <w:sz w:val="26"/>
          <w:szCs w:val="26"/>
        </w:rPr>
        <w:t xml:space="preserve"> đ </w:t>
      </w:r>
      <w:proofErr w:type="spellStart"/>
      <w:r w:rsidRPr="0090207F">
        <w:rPr>
          <w:color w:val="000000" w:themeColor="text1"/>
          <w:sz w:val="26"/>
          <w:szCs w:val="26"/>
        </w:rPr>
        <w:t>khoản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2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này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Giá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nguyên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mới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xây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dựng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dựa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quyết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đầu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tư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xây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dựng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đầu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tư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xây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dựng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hành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bỏ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hoặc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hủy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bỏ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tuân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hành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về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718FB763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Cách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ghi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tiết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kế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toán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khi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phá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dỡ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định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như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</w:t>
      </w:r>
    </w:p>
    <w:p w14:paraId="317B3C1D" w14:textId="77777777" w:rsidR="0090207F" w:rsidRPr="0090207F" w:rsidRDefault="0090207F" w:rsidP="0090207F">
      <w:pPr>
        <w:numPr>
          <w:ilvl w:val="0"/>
          <w:numId w:val="11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214 – Hao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5FBDF4C8" w14:textId="77777777" w:rsidR="0090207F" w:rsidRPr="0090207F" w:rsidRDefault="0090207F" w:rsidP="0090207F">
      <w:pPr>
        <w:numPr>
          <w:ilvl w:val="0"/>
          <w:numId w:val="11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811 – Chi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15648B1A" w14:textId="77777777" w:rsidR="0090207F" w:rsidRPr="0090207F" w:rsidRDefault="0090207F" w:rsidP="0090207F">
      <w:pPr>
        <w:numPr>
          <w:ilvl w:val="0"/>
          <w:numId w:val="11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211 –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4D39343E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 xml:space="preserve">Theo </w:t>
      </w:r>
      <w:proofErr w:type="spellStart"/>
      <w:r w:rsidRPr="0090207F">
        <w:rPr>
          <w:color w:val="000000" w:themeColor="text1"/>
          <w:sz w:val="26"/>
          <w:szCs w:val="26"/>
        </w:rPr>
        <w:t>Công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văn</w:t>
      </w:r>
      <w:proofErr w:type="spellEnd"/>
      <w:r w:rsidRPr="0090207F">
        <w:rPr>
          <w:color w:val="000000" w:themeColor="text1"/>
          <w:sz w:val="26"/>
          <w:szCs w:val="26"/>
        </w:rPr>
        <w:t xml:space="preserve"> 2590/TCT-CS </w:t>
      </w:r>
      <w:proofErr w:type="spellStart"/>
      <w:r w:rsidRPr="0090207F">
        <w:rPr>
          <w:color w:val="000000" w:themeColor="text1"/>
          <w:sz w:val="26"/>
          <w:szCs w:val="26"/>
        </w:rPr>
        <w:t>ngày</w:t>
      </w:r>
      <w:proofErr w:type="spellEnd"/>
      <w:r w:rsidRPr="0090207F">
        <w:rPr>
          <w:color w:val="000000" w:themeColor="text1"/>
          <w:sz w:val="26"/>
          <w:szCs w:val="26"/>
        </w:rPr>
        <w:t xml:space="preserve"> 26/06/2015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Tổng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cục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thuế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bệ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móng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máy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ty </w:t>
      </w:r>
      <w:proofErr w:type="spellStart"/>
      <w:r w:rsidRPr="0090207F">
        <w:rPr>
          <w:color w:val="000000" w:themeColor="text1"/>
          <w:sz w:val="26"/>
          <w:szCs w:val="26"/>
        </w:rPr>
        <w:t>tự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xây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dựng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đều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xem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riêng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biệt</w:t>
      </w:r>
      <w:proofErr w:type="spellEnd"/>
      <w:r w:rsidRPr="0090207F">
        <w:rPr>
          <w:color w:val="000000" w:themeColor="text1"/>
          <w:sz w:val="26"/>
          <w:szCs w:val="26"/>
        </w:rPr>
        <w:t xml:space="preserve">. Theo </w:t>
      </w:r>
      <w:proofErr w:type="spellStart"/>
      <w:r w:rsidRPr="0090207F">
        <w:rPr>
          <w:color w:val="000000" w:themeColor="text1"/>
          <w:sz w:val="26"/>
          <w:szCs w:val="26"/>
        </w:rPr>
        <w:t>nội</w:t>
      </w:r>
      <w:proofErr w:type="spellEnd"/>
      <w:r w:rsidRPr="0090207F">
        <w:rPr>
          <w:color w:val="000000" w:themeColor="text1"/>
          <w:sz w:val="26"/>
          <w:szCs w:val="26"/>
        </w:rPr>
        <w:t xml:space="preserve"> dung </w:t>
      </w:r>
      <w:proofErr w:type="spellStart"/>
      <w:r w:rsidRPr="0090207F">
        <w:rPr>
          <w:color w:val="000000" w:themeColor="text1"/>
          <w:sz w:val="26"/>
          <w:szCs w:val="26"/>
        </w:rPr>
        <w:t>đã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đề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trong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văn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số</w:t>
      </w:r>
      <w:proofErr w:type="spellEnd"/>
      <w:r w:rsidRPr="0090207F">
        <w:rPr>
          <w:color w:val="000000" w:themeColor="text1"/>
          <w:sz w:val="26"/>
          <w:szCs w:val="26"/>
        </w:rPr>
        <w:t xml:space="preserve"> 21/2015/CV-</w:t>
      </w:r>
      <w:proofErr w:type="spellStart"/>
      <w:r w:rsidRPr="0090207F">
        <w:rPr>
          <w:color w:val="000000" w:themeColor="text1"/>
          <w:sz w:val="26"/>
          <w:szCs w:val="26"/>
        </w:rPr>
        <w:t>cty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khi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phải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lắp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đặt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lại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hệ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thống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dây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chuyền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xuất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với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nghệ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mới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bỏ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toàn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bộ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bệ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móng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máy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bắt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buộc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097F9BD8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 xml:space="preserve">Khi </w:t>
      </w:r>
      <w:proofErr w:type="spellStart"/>
      <w:r w:rsidRPr="0090207F">
        <w:rPr>
          <w:color w:val="000000" w:themeColor="text1"/>
          <w:sz w:val="26"/>
          <w:szCs w:val="26"/>
        </w:rPr>
        <w:t>phá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như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bệ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móng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máy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chưa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khấu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hao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hết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sự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chênh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lệch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còn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thiếu</w:t>
      </w:r>
      <w:proofErr w:type="spellEnd"/>
      <w:r w:rsidRPr="0090207F">
        <w:rPr>
          <w:color w:val="000000" w:themeColor="text1"/>
          <w:sz w:val="26"/>
          <w:szCs w:val="26"/>
        </w:rPr>
        <w:t xml:space="preserve"> do </w:t>
      </w:r>
      <w:proofErr w:type="spellStart"/>
      <w:r w:rsidRPr="0090207F">
        <w:rPr>
          <w:color w:val="000000" w:themeColor="text1"/>
          <w:sz w:val="26"/>
          <w:szCs w:val="26"/>
        </w:rPr>
        <w:t>chưa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trích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khấu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hao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đầy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đủ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có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hóa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chứng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hợp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lệ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pháp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luật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có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vào</w:t>
      </w:r>
      <w:proofErr w:type="spellEnd"/>
      <w:r w:rsidRPr="0090207F">
        <w:rPr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hợp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hành.</w:t>
      </w:r>
    </w:p>
    <w:p w14:paraId="5E2F351F" w14:textId="0806D755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b/>
          <w:bCs/>
          <w:color w:val="000000" w:themeColor="text1"/>
          <w:sz w:val="26"/>
          <w:szCs w:val="26"/>
        </w:rPr>
      </w:pPr>
      <w:r w:rsidRPr="0090207F">
        <w:rPr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Quy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định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khi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thanh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lý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tài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sản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cố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định</w:t>
      </w:r>
      <w:proofErr w:type="spellEnd"/>
    </w:p>
    <w:p w14:paraId="5415D8AD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 xml:space="preserve">Khi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biên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còn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lại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này</w:t>
      </w:r>
      <w:proofErr w:type="spellEnd"/>
      <w:r w:rsidRPr="0090207F">
        <w:rPr>
          <w:color w:val="000000" w:themeColor="text1"/>
          <w:sz w:val="26"/>
          <w:szCs w:val="26"/>
        </w:rPr>
        <w:t xml:space="preserve"> bao </w:t>
      </w:r>
      <w:proofErr w:type="spellStart"/>
      <w:r w:rsidRPr="0090207F">
        <w:rPr>
          <w:color w:val="000000" w:themeColor="text1"/>
          <w:sz w:val="26"/>
          <w:szCs w:val="26"/>
        </w:rPr>
        <w:t>gồm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loại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bỏ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khỏi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sổ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toán</w:t>
      </w:r>
      <w:proofErr w:type="spellEnd"/>
      <w:r w:rsidRPr="0090207F">
        <w:rPr>
          <w:color w:val="000000" w:themeColor="text1"/>
          <w:sz w:val="26"/>
          <w:szCs w:val="26"/>
        </w:rPr>
        <w:t xml:space="preserve"> chi </w:t>
      </w:r>
      <w:proofErr w:type="spellStart"/>
      <w:r w:rsidRPr="0090207F">
        <w:rPr>
          <w:color w:val="000000" w:themeColor="text1"/>
          <w:sz w:val="26"/>
          <w:szCs w:val="26"/>
        </w:rPr>
        <w:t>phí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khấu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hao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chưa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phân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bổ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Đồng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thời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phải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kết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kê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khai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thuế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hành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0B110BA4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 xml:space="preserve">Theo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tại</w:t>
      </w:r>
      <w:proofErr w:type="spellEnd"/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Điều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38 (1)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của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Thông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200/2014/TTBTC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và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Điều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32 (1)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của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Thông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133/2016/TTBTC</w:t>
      </w:r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điều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áp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>:</w:t>
      </w:r>
    </w:p>
    <w:p w14:paraId="27F857E3" w14:textId="77777777" w:rsidR="0090207F" w:rsidRPr="0090207F" w:rsidRDefault="0090207F" w:rsidP="0090207F">
      <w:pPr>
        <w:numPr>
          <w:ilvl w:val="0"/>
          <w:numId w:val="12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khấu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vốn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theo.</w:t>
      </w:r>
      <w:proofErr w:type="spellEnd"/>
    </w:p>
    <w:p w14:paraId="7D5079FA" w14:textId="77777777" w:rsidR="0090207F" w:rsidRPr="0090207F" w:rsidRDefault="0090207F" w:rsidP="0090207F">
      <w:pPr>
        <w:numPr>
          <w:ilvl w:val="0"/>
          <w:numId w:val="12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khấu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vốn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hư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hỏng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bồi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bồi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bởi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6455D9" w14:textId="77777777" w:rsidR="0090207F" w:rsidRPr="0090207F" w:rsidRDefault="0090207F" w:rsidP="0090207F">
      <w:pPr>
        <w:numPr>
          <w:ilvl w:val="0"/>
          <w:numId w:val="12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bồi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bù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đắp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thất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chênh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lệch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tổn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thất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bồi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5A2A61F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Hội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đồng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bù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có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nhiệm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tổ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chức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thủ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tục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bù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trừ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trong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hệ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thống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chính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“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Nghị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định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bù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trừ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”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mẫu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định.</w:t>
      </w:r>
    </w:p>
    <w:p w14:paraId="68803BD1" w14:textId="201FF910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b/>
          <w:bCs/>
          <w:color w:val="000000" w:themeColor="text1"/>
          <w:sz w:val="26"/>
          <w:szCs w:val="26"/>
        </w:rPr>
      </w:pPr>
      <w:r w:rsidRPr="0090207F">
        <w:rPr>
          <w:b/>
          <w:bCs/>
          <w:color w:val="000000" w:themeColor="text1"/>
          <w:sz w:val="26"/>
          <w:szCs w:val="26"/>
        </w:rPr>
        <w:t>3. H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ồ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sơ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thanh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lý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tài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sản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cố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định</w:t>
      </w:r>
      <w:proofErr w:type="spellEnd"/>
    </w:p>
    <w:p w14:paraId="49DA3493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r w:rsidRPr="0090207F">
        <w:rPr>
          <w:color w:val="000000" w:themeColor="text1"/>
          <w:sz w:val="26"/>
          <w:szCs w:val="26"/>
        </w:rPr>
        <w:t xml:space="preserve">Theo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tại</w:t>
      </w:r>
      <w:proofErr w:type="spellEnd"/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điểm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3.2.2,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Điều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35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của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Thông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tư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200/2014/TT-BTC</w:t>
      </w:r>
      <w:r w:rsidRPr="0090207F">
        <w:rPr>
          <w:color w:val="000000" w:themeColor="text1"/>
          <w:sz w:val="26"/>
          <w:szCs w:val="26"/>
        </w:rPr>
        <w:t xml:space="preserve">, TSCĐ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xem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có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những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điều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>:</w:t>
      </w:r>
    </w:p>
    <w:p w14:paraId="531FD99F" w14:textId="77777777" w:rsidR="0090207F" w:rsidRPr="0090207F" w:rsidRDefault="0090207F" w:rsidP="0090207F">
      <w:pPr>
        <w:numPr>
          <w:ilvl w:val="0"/>
          <w:numId w:val="13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hư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hỏng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EC8A06" w14:textId="77777777" w:rsidR="0090207F" w:rsidRPr="0090207F" w:rsidRDefault="0090207F" w:rsidP="0090207F">
      <w:pPr>
        <w:numPr>
          <w:ilvl w:val="0"/>
          <w:numId w:val="13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hậu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kỹ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877B2D1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lastRenderedPageBreak/>
        <w:t>Việc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quyết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thuộc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nhiệm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, bao </w:t>
      </w:r>
      <w:proofErr w:type="spellStart"/>
      <w:r w:rsidRPr="0090207F">
        <w:rPr>
          <w:color w:val="000000" w:themeColor="text1"/>
          <w:sz w:val="26"/>
          <w:szCs w:val="26"/>
        </w:rPr>
        <w:t>gồm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cả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chưa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hoàn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toàn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khấu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hao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hoặc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khấu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hao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hết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4313BCF7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Mỗi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hoạt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động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phải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có</w:t>
      </w:r>
      <w:proofErr w:type="spellEnd"/>
      <w:r w:rsidRPr="0090207F">
        <w:rPr>
          <w:color w:val="000000" w:themeColor="text1"/>
          <w:sz w:val="26"/>
          <w:szCs w:val="26"/>
        </w:rPr>
        <w:t xml:space="preserve"> “</w:t>
      </w:r>
      <w:proofErr w:type="spellStart"/>
      <w:r w:rsidRPr="0090207F">
        <w:rPr>
          <w:color w:val="000000" w:themeColor="text1"/>
          <w:sz w:val="26"/>
          <w:szCs w:val="26"/>
        </w:rPr>
        <w:t>Biên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TSCĐ”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mẫu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đảm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minh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hợp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pháp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này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67451CAE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Danh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mục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hồ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sơ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định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bao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gồm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các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liệu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>:</w:t>
      </w:r>
    </w:p>
    <w:p w14:paraId="616A2DF4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họp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4171D550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Thanh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47113893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</w:p>
    <w:p w14:paraId="7AB4496C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7171B542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TSCĐ)</w:t>
      </w:r>
    </w:p>
    <w:p w14:paraId="32439D16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</w:p>
    <w:p w14:paraId="66EE356C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5B8467AB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0189F97F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hủy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25351F9B" w14:textId="77777777" w:rsidR="0090207F" w:rsidRPr="0090207F" w:rsidRDefault="0090207F" w:rsidP="0090207F">
      <w:pPr>
        <w:numPr>
          <w:ilvl w:val="0"/>
          <w:numId w:val="14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Thanh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</w:p>
    <w:p w14:paraId="3B55C674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Đây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liệu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quan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trọng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đảm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chính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minh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trong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định.</w:t>
      </w:r>
    </w:p>
    <w:p w14:paraId="5F2EC776" w14:textId="494D7386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b/>
          <w:bCs/>
          <w:color w:val="000000" w:themeColor="text1"/>
          <w:sz w:val="26"/>
          <w:szCs w:val="26"/>
        </w:rPr>
      </w:pPr>
      <w:r w:rsidRPr="0090207F">
        <w:rPr>
          <w:b/>
          <w:bCs/>
          <w:color w:val="000000" w:themeColor="text1"/>
          <w:sz w:val="26"/>
          <w:szCs w:val="26"/>
        </w:rPr>
        <w:t xml:space="preserve">4.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Quy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trình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thủ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tục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thanh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lý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tài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sản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cố</w:t>
      </w:r>
      <w:proofErr w:type="spellEnd"/>
      <w:r w:rsidRPr="0090207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b/>
          <w:bCs/>
          <w:color w:val="000000" w:themeColor="text1"/>
          <w:sz w:val="26"/>
          <w:szCs w:val="26"/>
        </w:rPr>
        <w:t>định</w:t>
      </w:r>
      <w:proofErr w:type="spellEnd"/>
    </w:p>
    <w:p w14:paraId="20A6F4CB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tiến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hành</w:t>
      </w:r>
      <w:proofErr w:type="spellEnd"/>
      <w:r w:rsidRPr="0090207F">
        <w:rPr>
          <w:rStyle w:val="apple-converted-space"/>
          <w:b/>
          <w:bCs/>
          <w:color w:val="000000" w:themeColor="text1"/>
          <w:sz w:val="26"/>
          <w:szCs w:val="26"/>
        </w:rPr>
        <w:t> 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thanh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tài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sản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cố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Style w:val="Strong"/>
          <w:color w:val="000000" w:themeColor="text1"/>
          <w:sz w:val="26"/>
          <w:szCs w:val="26"/>
        </w:rPr>
        <w:t>định</w:t>
      </w:r>
      <w:proofErr w:type="spellEnd"/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r w:rsidRPr="0090207F">
        <w:rPr>
          <w:color w:val="000000" w:themeColor="text1"/>
          <w:sz w:val="26"/>
          <w:szCs w:val="26"/>
        </w:rPr>
        <w:t xml:space="preserve">(TSCĐ) </w:t>
      </w:r>
      <w:proofErr w:type="spellStart"/>
      <w:r w:rsidRPr="0090207F">
        <w:rPr>
          <w:color w:val="000000" w:themeColor="text1"/>
          <w:sz w:val="26"/>
          <w:szCs w:val="26"/>
        </w:rPr>
        <w:t>một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có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đảm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quyền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lợi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cho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bước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đây</w:t>
      </w:r>
      <w:proofErr w:type="spellEnd"/>
      <w:r w:rsidRPr="0090207F">
        <w:rPr>
          <w:color w:val="000000" w:themeColor="text1"/>
          <w:sz w:val="26"/>
          <w:szCs w:val="26"/>
        </w:rPr>
        <w:t>:</w:t>
      </w:r>
    </w:p>
    <w:p w14:paraId="52090E13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Bước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1:</w:t>
      </w:r>
      <w:r w:rsidRPr="0090207F">
        <w:rPr>
          <w:rStyle w:val="apple-converted-space"/>
          <w:b/>
          <w:bCs/>
          <w:color w:val="000000" w:themeColor="text1"/>
          <w:sz w:val="26"/>
          <w:szCs w:val="26"/>
        </w:rPr>
        <w:t> </w:t>
      </w:r>
      <w:proofErr w:type="spellStart"/>
      <w:r w:rsidRPr="0090207F">
        <w:rPr>
          <w:color w:val="000000" w:themeColor="text1"/>
          <w:sz w:val="26"/>
          <w:szCs w:val="26"/>
        </w:rPr>
        <w:t>Bộ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phận</w:t>
      </w:r>
      <w:proofErr w:type="spellEnd"/>
      <w:r w:rsidRPr="0090207F">
        <w:rPr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color w:val="000000" w:themeColor="text1"/>
          <w:sz w:val="26"/>
          <w:szCs w:val="26"/>
        </w:rPr>
        <w:t>hoặc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phòng</w:t>
      </w:r>
      <w:proofErr w:type="spellEnd"/>
      <w:r w:rsidRPr="0090207F">
        <w:rPr>
          <w:color w:val="000000" w:themeColor="text1"/>
          <w:sz w:val="26"/>
          <w:szCs w:val="26"/>
        </w:rPr>
        <w:t xml:space="preserve"> ban) </w:t>
      </w:r>
      <w:proofErr w:type="spellStart"/>
      <w:r w:rsidRPr="0090207F">
        <w:rPr>
          <w:color w:val="000000" w:themeColor="text1"/>
          <w:sz w:val="26"/>
          <w:szCs w:val="26"/>
        </w:rPr>
        <w:t>có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cần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dựa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kết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kiểm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kê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theo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dõi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sử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dụng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đề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Đơn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đề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này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đó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lãnh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đạo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công</w:t>
      </w:r>
      <w:proofErr w:type="spellEnd"/>
      <w:r w:rsidRPr="0090207F">
        <w:rPr>
          <w:color w:val="000000" w:themeColor="text1"/>
          <w:sz w:val="26"/>
          <w:szCs w:val="26"/>
        </w:rPr>
        <w:t xml:space="preserve"> ty </w:t>
      </w:r>
      <w:proofErr w:type="spellStart"/>
      <w:r w:rsidRPr="0090207F">
        <w:rPr>
          <w:color w:val="000000" w:themeColor="text1"/>
          <w:sz w:val="26"/>
          <w:szCs w:val="26"/>
        </w:rPr>
        <w:t>để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phê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duyệt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Đơn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đề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nghị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cụ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thể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hóa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mục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loại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406DDF25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Bước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2:</w:t>
      </w:r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color w:val="000000" w:themeColor="text1"/>
          <w:sz w:val="26"/>
          <w:szCs w:val="26"/>
        </w:rPr>
        <w:t>Đại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đưa</w:t>
      </w:r>
      <w:proofErr w:type="spellEnd"/>
      <w:r w:rsidRPr="0090207F">
        <w:rPr>
          <w:color w:val="000000" w:themeColor="text1"/>
          <w:sz w:val="26"/>
          <w:szCs w:val="26"/>
        </w:rPr>
        <w:t xml:space="preserve"> ra </w:t>
      </w:r>
      <w:proofErr w:type="spellStart"/>
      <w:r w:rsidRPr="0090207F">
        <w:rPr>
          <w:color w:val="000000" w:themeColor="text1"/>
          <w:sz w:val="26"/>
          <w:szCs w:val="26"/>
        </w:rPr>
        <w:t>quyết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TSCĐ.</w:t>
      </w:r>
    </w:p>
    <w:p w14:paraId="52166C07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Bước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3:</w:t>
      </w:r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color w:val="000000" w:themeColor="text1"/>
          <w:sz w:val="26"/>
          <w:szCs w:val="26"/>
        </w:rPr>
        <w:t>Thành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Hội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đồng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TSCĐ, bao </w:t>
      </w:r>
      <w:proofErr w:type="spellStart"/>
      <w:r w:rsidRPr="0090207F">
        <w:rPr>
          <w:color w:val="000000" w:themeColor="text1"/>
          <w:sz w:val="26"/>
          <w:szCs w:val="26"/>
        </w:rPr>
        <w:t>gồm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thành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viên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đây</w:t>
      </w:r>
      <w:proofErr w:type="spellEnd"/>
      <w:r w:rsidRPr="0090207F">
        <w:rPr>
          <w:color w:val="000000" w:themeColor="text1"/>
          <w:sz w:val="26"/>
          <w:szCs w:val="26"/>
        </w:rPr>
        <w:t>:</w:t>
      </w:r>
    </w:p>
    <w:p w14:paraId="413B1D5D" w14:textId="77777777" w:rsidR="0090207F" w:rsidRPr="0090207F" w:rsidRDefault="0090207F" w:rsidP="0090207F">
      <w:pPr>
        <w:numPr>
          <w:ilvl w:val="0"/>
          <w:numId w:val="1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tịch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</w:p>
    <w:p w14:paraId="13E243F1" w14:textId="77777777" w:rsidR="0090207F" w:rsidRPr="0090207F" w:rsidRDefault="0090207F" w:rsidP="0090207F">
      <w:pPr>
        <w:numPr>
          <w:ilvl w:val="0"/>
          <w:numId w:val="1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</w:p>
    <w:p w14:paraId="6A552F24" w14:textId="77777777" w:rsidR="0090207F" w:rsidRPr="0090207F" w:rsidRDefault="0090207F" w:rsidP="0090207F">
      <w:pPr>
        <w:numPr>
          <w:ilvl w:val="0"/>
          <w:numId w:val="1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phó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</w:p>
    <w:p w14:paraId="60FE79ED" w14:textId="77777777" w:rsidR="0090207F" w:rsidRPr="0090207F" w:rsidRDefault="0090207F" w:rsidP="0090207F">
      <w:pPr>
        <w:numPr>
          <w:ilvl w:val="0"/>
          <w:numId w:val="1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</w:p>
    <w:p w14:paraId="1D9870FC" w14:textId="77777777" w:rsidR="0090207F" w:rsidRPr="0090207F" w:rsidRDefault="0090207F" w:rsidP="0090207F">
      <w:pPr>
        <w:numPr>
          <w:ilvl w:val="0"/>
          <w:numId w:val="1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kỹ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</w:p>
    <w:p w14:paraId="7C333EFF" w14:textId="77777777" w:rsidR="0090207F" w:rsidRPr="0090207F" w:rsidRDefault="0090207F" w:rsidP="0090207F">
      <w:pPr>
        <w:numPr>
          <w:ilvl w:val="0"/>
          <w:numId w:val="15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Đại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đoàn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đoàn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Thanh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5504B977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Bước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4:</w:t>
      </w:r>
      <w:r w:rsidRPr="0090207F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0207F">
        <w:rPr>
          <w:color w:val="000000" w:themeColor="text1"/>
          <w:sz w:val="26"/>
          <w:szCs w:val="26"/>
        </w:rPr>
        <w:t>Hội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đồng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người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đứng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đầu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quYết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thức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xử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như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bán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hủy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, </w:t>
      </w:r>
      <w:proofErr w:type="spellStart"/>
      <w:r w:rsidRPr="0090207F">
        <w:rPr>
          <w:color w:val="000000" w:themeColor="text1"/>
          <w:sz w:val="26"/>
          <w:szCs w:val="26"/>
        </w:rPr>
        <w:t>tùy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thuộc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đặc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điểm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trạng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của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cần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314BFBC0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rStyle w:val="Strong"/>
          <w:color w:val="000000" w:themeColor="text1"/>
          <w:sz w:val="26"/>
          <w:szCs w:val="26"/>
        </w:rPr>
        <w:t>Bước</w:t>
      </w:r>
      <w:proofErr w:type="spellEnd"/>
      <w:r w:rsidRPr="0090207F">
        <w:rPr>
          <w:rStyle w:val="Strong"/>
          <w:color w:val="000000" w:themeColor="text1"/>
          <w:sz w:val="26"/>
          <w:szCs w:val="26"/>
        </w:rPr>
        <w:t xml:space="preserve"> 5:</w:t>
      </w:r>
      <w:r w:rsidRPr="0090207F">
        <w:rPr>
          <w:rStyle w:val="apple-converted-space"/>
          <w:b/>
          <w:bCs/>
          <w:color w:val="000000" w:themeColor="text1"/>
          <w:sz w:val="26"/>
          <w:szCs w:val="26"/>
        </w:rPr>
        <w:t> </w:t>
      </w:r>
      <w:proofErr w:type="spellStart"/>
      <w:r w:rsidRPr="0090207F">
        <w:rPr>
          <w:color w:val="000000" w:themeColor="text1"/>
          <w:sz w:val="26"/>
          <w:szCs w:val="26"/>
        </w:rPr>
        <w:t>Hội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đồng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color w:val="000000" w:themeColor="text1"/>
          <w:sz w:val="26"/>
          <w:szCs w:val="26"/>
        </w:rPr>
        <w:t>lập</w:t>
      </w:r>
      <w:proofErr w:type="spellEnd"/>
      <w:r w:rsidRPr="0090207F">
        <w:rPr>
          <w:color w:val="000000" w:themeColor="text1"/>
          <w:sz w:val="26"/>
          <w:szCs w:val="26"/>
        </w:rPr>
        <w:t xml:space="preserve"> “</w:t>
      </w:r>
      <w:proofErr w:type="spellStart"/>
      <w:r w:rsidRPr="0090207F">
        <w:rPr>
          <w:color w:val="000000" w:themeColor="text1"/>
          <w:sz w:val="26"/>
          <w:szCs w:val="26"/>
        </w:rPr>
        <w:t>Biên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”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khi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hoàn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thành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. </w:t>
      </w:r>
      <w:proofErr w:type="spellStart"/>
      <w:r w:rsidRPr="0090207F">
        <w:rPr>
          <w:color w:val="000000" w:themeColor="text1"/>
          <w:sz w:val="26"/>
          <w:szCs w:val="26"/>
        </w:rPr>
        <w:t>Quá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này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kèm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với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bộ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hồ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sơ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TSCĐ, bao </w:t>
      </w:r>
      <w:proofErr w:type="spellStart"/>
      <w:r w:rsidRPr="0090207F">
        <w:rPr>
          <w:color w:val="000000" w:themeColor="text1"/>
          <w:sz w:val="26"/>
          <w:szCs w:val="26"/>
        </w:rPr>
        <w:t>gồm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liệu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sau</w:t>
      </w:r>
      <w:proofErr w:type="spellEnd"/>
      <w:r w:rsidRPr="0090207F">
        <w:rPr>
          <w:color w:val="000000" w:themeColor="text1"/>
          <w:sz w:val="26"/>
          <w:szCs w:val="26"/>
        </w:rPr>
        <w:t>:</w:t>
      </w:r>
    </w:p>
    <w:p w14:paraId="4B05AF58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họp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34249E75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Thanh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7BDFC006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</w:p>
    <w:p w14:paraId="51D697FF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3091E82E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6884FEAE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</w:p>
    <w:p w14:paraId="512B4E79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056E5C11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75CE9F10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hủy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</w:p>
    <w:p w14:paraId="12B90D12" w14:textId="77777777" w:rsidR="0090207F" w:rsidRPr="0090207F" w:rsidRDefault="0090207F" w:rsidP="0090207F">
      <w:pPr>
        <w:numPr>
          <w:ilvl w:val="0"/>
          <w:numId w:val="16"/>
        </w:numPr>
        <w:spacing w:beforeLines="60" w:before="144" w:after="60"/>
        <w:ind w:left="10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Thanh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0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TSCĐ</w:t>
      </w:r>
    </w:p>
    <w:p w14:paraId="60372083" w14:textId="77777777" w:rsidR="0090207F" w:rsidRPr="0090207F" w:rsidRDefault="0090207F" w:rsidP="0090207F">
      <w:pPr>
        <w:pStyle w:val="NormalWeb"/>
        <w:spacing w:beforeLines="60" w:before="144" w:beforeAutospacing="0" w:after="60" w:afterAutospacing="0"/>
        <w:rPr>
          <w:color w:val="000000" w:themeColor="text1"/>
          <w:sz w:val="26"/>
          <w:szCs w:val="26"/>
        </w:rPr>
      </w:pPr>
      <w:proofErr w:type="spellStart"/>
      <w:r w:rsidRPr="0090207F">
        <w:rPr>
          <w:color w:val="000000" w:themeColor="text1"/>
          <w:sz w:val="26"/>
          <w:szCs w:val="26"/>
        </w:rPr>
        <w:t>Đảm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bảo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trình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được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thực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đúng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quy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giúp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doanh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nghiệp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lý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tài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sản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cố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định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một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cách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hiệu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quả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và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minh</w:t>
      </w:r>
      <w:proofErr w:type="spellEnd"/>
      <w:r w:rsidRPr="0090207F">
        <w:rPr>
          <w:color w:val="000000" w:themeColor="text1"/>
          <w:sz w:val="26"/>
          <w:szCs w:val="26"/>
        </w:rPr>
        <w:t xml:space="preserve"> </w:t>
      </w:r>
      <w:proofErr w:type="spellStart"/>
      <w:r w:rsidRPr="0090207F">
        <w:rPr>
          <w:color w:val="000000" w:themeColor="text1"/>
          <w:sz w:val="26"/>
          <w:szCs w:val="26"/>
        </w:rPr>
        <w:t>bạch</w:t>
      </w:r>
      <w:proofErr w:type="spellEnd"/>
      <w:r w:rsidRPr="0090207F">
        <w:rPr>
          <w:color w:val="000000" w:themeColor="text1"/>
          <w:sz w:val="26"/>
          <w:szCs w:val="26"/>
        </w:rPr>
        <w:t>.</w:t>
      </w:r>
    </w:p>
    <w:p w14:paraId="67B8877D" w14:textId="3D4BBFFB" w:rsidR="0090207F" w:rsidRPr="0048299C" w:rsidRDefault="0048299C" w:rsidP="0048299C">
      <w:pPr>
        <w:spacing w:beforeLines="60" w:before="144" w:after="60"/>
        <w:ind w:left="5760" w:firstLine="72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48299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GV</w:t>
      </w:r>
    </w:p>
    <w:p w14:paraId="1E10E198" w14:textId="33E2AA49" w:rsidR="0048299C" w:rsidRPr="0048299C" w:rsidRDefault="0048299C" w:rsidP="0048299C">
      <w:pPr>
        <w:spacing w:beforeLines="60" w:before="144" w:after="60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48299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Nguyễn Thị Đoan Trang</w:t>
      </w:r>
    </w:p>
    <w:sectPr w:rsidR="0048299C" w:rsidRPr="00482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85E"/>
    <w:multiLevelType w:val="multilevel"/>
    <w:tmpl w:val="0F2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74E04"/>
    <w:multiLevelType w:val="multilevel"/>
    <w:tmpl w:val="641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A617B"/>
    <w:multiLevelType w:val="multilevel"/>
    <w:tmpl w:val="136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31DA6"/>
    <w:multiLevelType w:val="multilevel"/>
    <w:tmpl w:val="5CF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76327"/>
    <w:multiLevelType w:val="multilevel"/>
    <w:tmpl w:val="4E0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F6FE1"/>
    <w:multiLevelType w:val="multilevel"/>
    <w:tmpl w:val="B9D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B09A8"/>
    <w:multiLevelType w:val="multilevel"/>
    <w:tmpl w:val="47AC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66FE9"/>
    <w:multiLevelType w:val="multilevel"/>
    <w:tmpl w:val="33F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F3E3C"/>
    <w:multiLevelType w:val="multilevel"/>
    <w:tmpl w:val="7032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15688"/>
    <w:multiLevelType w:val="multilevel"/>
    <w:tmpl w:val="B392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37ED9"/>
    <w:multiLevelType w:val="multilevel"/>
    <w:tmpl w:val="623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631E6"/>
    <w:multiLevelType w:val="multilevel"/>
    <w:tmpl w:val="173C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A5509"/>
    <w:multiLevelType w:val="multilevel"/>
    <w:tmpl w:val="E7A2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617C4"/>
    <w:multiLevelType w:val="multilevel"/>
    <w:tmpl w:val="DF5C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826EF"/>
    <w:multiLevelType w:val="multilevel"/>
    <w:tmpl w:val="BA7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738DF"/>
    <w:multiLevelType w:val="multilevel"/>
    <w:tmpl w:val="F5F8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14"/>
  </w:num>
  <w:num w:numId="10">
    <w:abstractNumId w:val="11"/>
  </w:num>
  <w:num w:numId="11">
    <w:abstractNumId w:val="15"/>
  </w:num>
  <w:num w:numId="12">
    <w:abstractNumId w:val="13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7F"/>
    <w:rsid w:val="00150112"/>
    <w:rsid w:val="0048299C"/>
    <w:rsid w:val="009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B8C16"/>
  <w15:chartTrackingRefBased/>
  <w15:docId w15:val="{F5EE48FD-9ACB-D048-ADD1-C70F885F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20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0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0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0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9020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0207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207F"/>
  </w:style>
  <w:style w:type="paragraph" w:customStyle="1" w:styleId="ez-toc-title">
    <w:name w:val="ez-toc-title"/>
    <w:basedOn w:val="Normal"/>
    <w:rsid w:val="009020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0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922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5317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704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2197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2025-05-16T06:22:00Z</dcterms:created>
  <dcterms:modified xsi:type="dcterms:W3CDTF">2025-05-16T06:29:00Z</dcterms:modified>
</cp:coreProperties>
</file>