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BAC" w:rsidRDefault="005B3DA1" w:rsidP="00A33BAC">
      <w:pPr>
        <w:shd w:val="clear" w:color="auto" w:fill="FFFFFF"/>
        <w:spacing w:after="150"/>
        <w:jc w:val="center"/>
        <w:rPr>
          <w:rFonts w:ascii="Times New Roman" w:eastAsia="Times New Roman" w:hAnsi="Times New Roman" w:cs="Times New Roman"/>
          <w:b/>
          <w:bCs/>
          <w:color w:val="337AB7"/>
          <w:kern w:val="0"/>
          <w:sz w:val="26"/>
          <w:szCs w:val="26"/>
          <w14:ligatures w14:val="none"/>
        </w:rPr>
      </w:pPr>
      <w:r w:rsidRPr="00A33BAC">
        <w:rPr>
          <w:rFonts w:ascii="Times New Roman" w:eastAsia="Times New Roman" w:hAnsi="Times New Roman" w:cs="Times New Roman"/>
          <w:b/>
          <w:bCs/>
          <w:color w:val="337AB7"/>
          <w:kern w:val="0"/>
          <w:sz w:val="26"/>
          <w:szCs w:val="26"/>
          <w14:ligatures w14:val="none"/>
        </w:rPr>
        <w:t>MỘT</w:t>
      </w:r>
      <w:r w:rsidRPr="00A33BAC">
        <w:rPr>
          <w:rFonts w:ascii="Times New Roman" w:eastAsia="Times New Roman" w:hAnsi="Times New Roman" w:cs="Times New Roman"/>
          <w:b/>
          <w:bCs/>
          <w:color w:val="337AB7"/>
          <w:kern w:val="0"/>
          <w:sz w:val="26"/>
          <w:szCs w:val="26"/>
          <w:lang w:val="vi-VN"/>
          <w14:ligatures w14:val="none"/>
        </w:rPr>
        <w:t xml:space="preserve"> SỐ THAY ĐỔI VỀ BẢO HIỂM XÃ HỘI (BHXH) </w:t>
      </w:r>
    </w:p>
    <w:p w:rsidR="00E37384" w:rsidRPr="00A33BAC" w:rsidRDefault="00E37384" w:rsidP="00A33BAC">
      <w:pPr>
        <w:shd w:val="clear" w:color="auto" w:fill="FFFFFF"/>
        <w:spacing w:after="150"/>
        <w:jc w:val="center"/>
        <w:rPr>
          <w:rFonts w:ascii="Times New Roman" w:eastAsia="Times New Roman" w:hAnsi="Times New Roman" w:cs="Times New Roman"/>
          <w:b/>
          <w:bCs/>
          <w:color w:val="337AB7"/>
          <w:kern w:val="0"/>
          <w:sz w:val="26"/>
          <w:szCs w:val="26"/>
          <w14:ligatures w14:val="none"/>
        </w:rPr>
      </w:pPr>
    </w:p>
    <w:p w:rsidR="00A33BAC" w:rsidRPr="00A33BAC" w:rsidRDefault="00E37384" w:rsidP="00A33BAC">
      <w:pPr>
        <w:pStyle w:val="NormalWeb"/>
        <w:shd w:val="clear" w:color="auto" w:fill="FFFFFF"/>
        <w:spacing w:before="0" w:beforeAutospacing="0" w:after="0" w:afterAutospacing="0"/>
        <w:jc w:val="both"/>
        <w:rPr>
          <w:b/>
          <w:bCs/>
          <w:color w:val="000000"/>
          <w:sz w:val="26"/>
          <w:szCs w:val="26"/>
        </w:rPr>
      </w:pPr>
      <w:bookmarkStart w:id="0" w:name="dieu_72"/>
      <w:r>
        <w:rPr>
          <w:b/>
          <w:bCs/>
          <w:color w:val="000000"/>
          <w:sz w:val="26"/>
          <w:szCs w:val="26"/>
          <w:lang w:val="vi-VN"/>
        </w:rPr>
        <w:t>1</w:t>
      </w:r>
      <w:r w:rsidR="00A33BAC" w:rsidRPr="00A33BAC">
        <w:rPr>
          <w:b/>
          <w:bCs/>
          <w:color w:val="000000"/>
          <w:sz w:val="26"/>
          <w:szCs w:val="26"/>
          <w:lang w:val="vi-VN"/>
        </w:rPr>
        <w:t xml:space="preserve">. </w:t>
      </w:r>
      <w:r w:rsidR="00A33BAC" w:rsidRPr="00A33BAC">
        <w:rPr>
          <w:b/>
          <w:bCs/>
          <w:color w:val="000000"/>
          <w:sz w:val="26"/>
          <w:szCs w:val="26"/>
        </w:rPr>
        <w:t>Mức bình quân tiền lương làm căn cứ đóng bảo hiểm xã hội để tính lương hưu, trợ cấp một lần</w:t>
      </w:r>
      <w:bookmarkEnd w:id="0"/>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1. Người lao động thuộc đối tượng thực hiện chế độ tiền lương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a) Bắt đầu tham gia bảo hiểm xã hội trước ngày 01 tháng 01 năm 1995 thì tính bình quân tiền lương làm căn cứ đóng bảo hiểm xã hội của 05 năm cuối trước khi nghỉ hưu;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b) Bắt đầu tham gia bảo hiểm xã hội trong khoảng thời gian từ ngày 01 tháng 01 năm 1995 đến ngày 31 tháng 12 năm 2000 thì tính bình quân tiền lương làm căn cứ đóng bảo hiểm xã hội của 06 năm cuối trước khi nghỉ hưu;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c) Bắt đầu tham gia bảo hiểm xã hội trong khoảng thời gian từ ngày 01 tháng 01 năm 2001 đến ngày 31 tháng 12 năm 2006 thì tính bình quân tiền lương làm căn cứ đóng bảo hiểm xã hội của 08 năm cuối trước khi nghỉ hưu;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d) Bắt đầu tham gia bảo hiểm xã hội trong khoảng thời gian từ ngày 01 tháng 01 năm 2007 đến ngày 31 tháng 12 năm 2015 thì tính bình quân tiền lương làm căn cứ đóng bảo hiểm xã hội của 10 năm cuối trước khi nghỉ hưu;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đ) Bắt đầu tham gia bảo hiểm xã hội từ ngày 01 tháng 01 năm 2016 đến ngày 31 tháng 12 năm 2019 thì tính bình quân tiền lương làm căn cứ đóng bảo hiểm xã hội của 15 năm cuối trước khi nghỉ hưu;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e) Bắt đầu tham gia bảo hiểm xã hội từ ngày 01 tháng 01 năm 2020 đến ngày 31 tháng 12 năm 2024 thì tính bình quân tiền lương làm căn cứ đóng bảo hiểm xã hội của 20 năm cuối trước khi nghỉ hưu;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g) Bắt đầu tham gia bảo hiểm xã hội từ ngày 01 tháng 01 năm 2025 trở đi thì tính bình quân tiền lương làm căn cứ đóng bảo hiểm xã hội của toàn bộ thời gian đóng bảo hiểm xã hội.</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2.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làm căn cứ đóng bảo hiểm xã hội chung của các thời gian, trong đó thời gian đóng theo chế độ tiền lương do Nhà nước quy định được tính bình quân tiền lương làm căn cứ đóng bảo hiểm xã hội theo quy định tại khoản 1 Điều này.</w:t>
      </w:r>
    </w:p>
    <w:p w:rsidR="00A33BAC" w:rsidRPr="00A33BAC" w:rsidRDefault="00A33BAC" w:rsidP="00A33BAC">
      <w:pPr>
        <w:pStyle w:val="NormalWeb"/>
        <w:shd w:val="clear" w:color="auto" w:fill="FFFFFF"/>
        <w:spacing w:before="0" w:beforeAutospacing="0" w:after="0" w:afterAutospacing="0"/>
        <w:jc w:val="both"/>
        <w:rPr>
          <w:color w:val="000000"/>
          <w:sz w:val="26"/>
          <w:szCs w:val="26"/>
        </w:rPr>
      </w:pPr>
      <w:bookmarkStart w:id="1" w:name="khoan_4_72"/>
      <w:r w:rsidRPr="00A33BAC">
        <w:rPr>
          <w:color w:val="000000"/>
          <w:sz w:val="26"/>
          <w:szCs w:val="26"/>
        </w:rPr>
        <w:lastRenderedPageBreak/>
        <w:t>4. Chính phủ quy định chi tiết Điều này và quy định mức bình quân tiền lương làm căn cứ đóng bảo hiểm xã hội đối với người lao động thực hiện chế độ tiền lương do Nhà nước quy định trong một số trường hợp đặc biệt.</w:t>
      </w:r>
      <w:bookmarkEnd w:id="1"/>
    </w:p>
    <w:p w:rsidR="00A33BAC" w:rsidRPr="00A33BAC" w:rsidRDefault="00E37384" w:rsidP="00A33BAC">
      <w:pPr>
        <w:pStyle w:val="NormalWeb"/>
        <w:shd w:val="clear" w:color="auto" w:fill="FFFFFF"/>
        <w:spacing w:before="0" w:beforeAutospacing="0" w:after="0" w:afterAutospacing="0"/>
        <w:jc w:val="both"/>
        <w:rPr>
          <w:b/>
          <w:bCs/>
          <w:color w:val="000000"/>
          <w:sz w:val="26"/>
          <w:szCs w:val="26"/>
        </w:rPr>
      </w:pPr>
      <w:bookmarkStart w:id="2" w:name="dieu_73"/>
      <w:r>
        <w:rPr>
          <w:b/>
          <w:bCs/>
          <w:color w:val="000000"/>
          <w:sz w:val="26"/>
          <w:szCs w:val="26"/>
          <w:lang w:val="vi-VN"/>
        </w:rPr>
        <w:t>2</w:t>
      </w:r>
      <w:r w:rsidR="00A33BAC" w:rsidRPr="00A33BAC">
        <w:rPr>
          <w:b/>
          <w:bCs/>
          <w:color w:val="000000"/>
          <w:sz w:val="26"/>
          <w:szCs w:val="26"/>
          <w:lang w:val="vi-VN"/>
        </w:rPr>
        <w:t xml:space="preserve">. </w:t>
      </w:r>
      <w:r w:rsidR="00A33BAC" w:rsidRPr="00A33BAC">
        <w:rPr>
          <w:b/>
          <w:bCs/>
          <w:color w:val="000000"/>
          <w:sz w:val="26"/>
          <w:szCs w:val="26"/>
        </w:rPr>
        <w:t xml:space="preserve"> Điều chỉnh tiền lương làm căn cứ đóng bảo hiểm xã hội bắt buộc</w:t>
      </w:r>
      <w:bookmarkEnd w:id="2"/>
    </w:p>
    <w:p w:rsidR="00A33BAC" w:rsidRPr="00A33BAC" w:rsidRDefault="00A33BAC" w:rsidP="00A33BAC">
      <w:pPr>
        <w:pStyle w:val="NormalWeb"/>
        <w:shd w:val="clear" w:color="auto" w:fill="FFFFFF"/>
        <w:spacing w:before="0" w:beforeAutospacing="0" w:after="0" w:afterAutospacing="0"/>
        <w:jc w:val="both"/>
        <w:rPr>
          <w:color w:val="000000"/>
          <w:sz w:val="26"/>
          <w:szCs w:val="26"/>
        </w:rPr>
      </w:pPr>
      <w:r w:rsidRPr="00A33BAC">
        <w:rPr>
          <w:color w:val="000000"/>
          <w:sz w:val="26"/>
          <w:szCs w:val="26"/>
        </w:rPr>
        <w:t>1. Tiền lương làm căn cứ đóng bảo hiểm xã hội bắt buộc để tính mức bình quân quy định tại </w:t>
      </w:r>
      <w:bookmarkStart w:id="3" w:name="tc_122"/>
      <w:r w:rsidRPr="00A33BAC">
        <w:rPr>
          <w:color w:val="000000"/>
          <w:sz w:val="26"/>
          <w:szCs w:val="26"/>
        </w:rPr>
        <w:t>Điều 72 của Luật này</w:t>
      </w:r>
      <w:bookmarkEnd w:id="3"/>
      <w:r w:rsidRPr="00A33BAC">
        <w:rPr>
          <w:color w:val="000000"/>
          <w:sz w:val="26"/>
          <w:szCs w:val="26"/>
        </w:rPr>
        <w:t> của người lao động thuộc đối tượng thực hiện chế độ tiền lương do Nhà nước quy định được điều chỉnh như sau:</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a) Đối với người lao động bắt đầu tham gia bảo hiểm xã hội trước ngày 01 tháng 01 năm 2016, được điều chỉnh theo mức tham chiếu tại thời điểm hưởng chế độ hưu trí;</w:t>
      </w:r>
    </w:p>
    <w:p w:rsidR="00A33BAC" w:rsidRP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b) Đối với người lao động bắt đầu tham gia bảo hiểm xã hội từ ngày 01 tháng 01 năm 2016 trở đi, được điều chỉnh như quy định tại khoản 2 Điều này.</w:t>
      </w:r>
    </w:p>
    <w:p w:rsidR="00A33BAC" w:rsidRPr="00A33BAC" w:rsidRDefault="00A33BAC" w:rsidP="00A33BAC">
      <w:pPr>
        <w:pStyle w:val="NormalWeb"/>
        <w:shd w:val="clear" w:color="auto" w:fill="FFFFFF"/>
        <w:spacing w:before="0" w:beforeAutospacing="0" w:after="0" w:afterAutospacing="0"/>
        <w:jc w:val="both"/>
        <w:rPr>
          <w:color w:val="000000"/>
          <w:sz w:val="26"/>
          <w:szCs w:val="26"/>
        </w:rPr>
      </w:pPr>
      <w:r w:rsidRPr="00A33BAC">
        <w:rPr>
          <w:color w:val="000000"/>
          <w:sz w:val="26"/>
          <w:szCs w:val="26"/>
        </w:rPr>
        <w:t>2. Tiền lương làm căn cứ đóng bảo hiểm xã hội bắt buộc để tính mức bình quân quy định tại </w:t>
      </w:r>
      <w:bookmarkStart w:id="4" w:name="tc_123"/>
      <w:r w:rsidRPr="00A33BAC">
        <w:rPr>
          <w:color w:val="000000"/>
          <w:sz w:val="26"/>
          <w:szCs w:val="26"/>
        </w:rPr>
        <w:t>Điều 72 của Luật này</w:t>
      </w:r>
      <w:bookmarkEnd w:id="4"/>
      <w:r w:rsidRPr="00A33BAC">
        <w:rPr>
          <w:color w:val="000000"/>
          <w:sz w:val="26"/>
          <w:szCs w:val="26"/>
        </w:rPr>
        <w:t> của người lao động thuộc đối tượng thực hiện chế độ tiền lương do người sử dụng lao động quyết định được điều chỉnh trên cơ sở chỉ số giá tiêu dùng của từng thời kỳ theo quy định của Chính phủ.</w:t>
      </w:r>
    </w:p>
    <w:p w:rsidR="00A33BAC" w:rsidRPr="00A33BAC" w:rsidRDefault="00A33BAC" w:rsidP="00A33BAC">
      <w:pPr>
        <w:pStyle w:val="NormalWeb"/>
        <w:shd w:val="clear" w:color="auto" w:fill="FFFFFF"/>
        <w:spacing w:before="0" w:beforeAutospacing="0" w:after="0" w:afterAutospacing="0"/>
        <w:jc w:val="both"/>
        <w:rPr>
          <w:color w:val="000000"/>
          <w:sz w:val="26"/>
          <w:szCs w:val="26"/>
        </w:rPr>
      </w:pPr>
      <w:bookmarkStart w:id="5" w:name="dieu_74"/>
      <w:r w:rsidRPr="00A33BAC">
        <w:rPr>
          <w:color w:val="000000"/>
          <w:sz w:val="26"/>
          <w:szCs w:val="26"/>
        </w:rPr>
        <w:t>Điều 74. Thực hiện bảo hiểm xã hội khi áp dụng chế độ tiền lương theo vị trí việc làm, chức danh và chức vụ lãnh đạo thay thế cho hệ thống bảng lương hiện hành</w:t>
      </w:r>
      <w:bookmarkEnd w:id="5"/>
    </w:p>
    <w:p w:rsidR="00A33BAC" w:rsidRDefault="00A33BAC" w:rsidP="00A33BAC">
      <w:pPr>
        <w:pStyle w:val="NormalWeb"/>
        <w:shd w:val="clear" w:color="auto" w:fill="FFFFFF"/>
        <w:spacing w:before="120" w:beforeAutospacing="0" w:after="120" w:afterAutospacing="0"/>
        <w:jc w:val="both"/>
        <w:rPr>
          <w:color w:val="000000"/>
          <w:sz w:val="26"/>
          <w:szCs w:val="26"/>
        </w:rPr>
      </w:pPr>
      <w:r w:rsidRPr="00A33BAC">
        <w:rPr>
          <w:color w:val="000000"/>
          <w:sz w:val="26"/>
          <w:szCs w:val="26"/>
        </w:rPr>
        <w:t>Trường hợp Nhà nước áp dụng chế độ tiền lương theo vị trí việc làm, chức danh và chức vụ lãnh đạo thay thế cho hệ thống bảng lương hiện hành thì Chính phủ báo cáo Quốc hội xem xét, quyết định việc điều chỉnh căn cứ đóng bảo hiểm xã hội bắt buộc, cách tính mức bình quân tiền lương làm căn cứ tính lương hưu, trợ cấp bảo hiểm xã hội, điều chỉnh tiền lương làm căn cứ đóng bảo hiểm xã hội bắt buộc và những nội dung cần thiết khác.</w:t>
      </w:r>
    </w:p>
    <w:p w:rsidR="00A873A6" w:rsidRDefault="00A873A6" w:rsidP="00A873A6">
      <w:pPr>
        <w:pStyle w:val="NormalWeb"/>
        <w:shd w:val="clear" w:color="auto" w:fill="FFFFFF"/>
        <w:spacing w:before="120" w:beforeAutospacing="0" w:after="120" w:afterAutospacing="0"/>
        <w:jc w:val="both"/>
        <w:rPr>
          <w:color w:val="000000"/>
          <w:sz w:val="26"/>
          <w:szCs w:val="26"/>
        </w:rPr>
      </w:pPr>
      <w:r w:rsidRPr="00A873A6">
        <w:rPr>
          <w:b/>
          <w:bCs/>
          <w:color w:val="000000"/>
          <w:sz w:val="26"/>
          <w:szCs w:val="26"/>
          <w:lang w:val="vi-VN"/>
        </w:rPr>
        <w:t>3</w:t>
      </w:r>
      <w:r w:rsidRPr="00A873A6">
        <w:rPr>
          <w:b/>
          <w:bCs/>
          <w:color w:val="000000"/>
          <w:sz w:val="26"/>
          <w:szCs w:val="26"/>
        </w:rPr>
        <w:t xml:space="preserve">. </w:t>
      </w:r>
      <w:r w:rsidR="00E37384" w:rsidRPr="00E37384">
        <w:rPr>
          <w:b/>
          <w:bCs/>
          <w:color w:val="000000"/>
          <w:sz w:val="26"/>
          <w:szCs w:val="26"/>
        </w:rPr>
        <w:t>Độ tuổi nghỉ hưu năm 2025 đối với người lao động trong điều kiện bình thường</w:t>
      </w:r>
    </w:p>
    <w:p w:rsidR="00E37384" w:rsidRPr="00E37384" w:rsidRDefault="00A873A6" w:rsidP="00A873A6">
      <w:pPr>
        <w:pStyle w:val="NormalWeb"/>
        <w:shd w:val="clear" w:color="auto" w:fill="FFFFFF"/>
        <w:spacing w:before="120" w:beforeAutospacing="0" w:after="120" w:afterAutospacing="0"/>
        <w:jc w:val="both"/>
        <w:rPr>
          <w:color w:val="000000"/>
          <w:sz w:val="26"/>
          <w:szCs w:val="26"/>
        </w:rPr>
      </w:pPr>
      <w:r>
        <w:rPr>
          <w:color w:val="000000"/>
          <w:sz w:val="26"/>
          <w:szCs w:val="26"/>
          <w:lang w:val="vi-VN"/>
        </w:rPr>
        <w:t xml:space="preserve">   </w:t>
      </w:r>
      <w:r w:rsidR="00E37384" w:rsidRPr="00E37384">
        <w:rPr>
          <w:color w:val="000000"/>
          <w:sz w:val="26"/>
          <w:szCs w:val="26"/>
        </w:rPr>
        <w:t>Theo khoản 1 Điều 4</w:t>
      </w:r>
      <w:r w:rsidRPr="00A873A6">
        <w:rPr>
          <w:color w:val="000000"/>
          <w:sz w:val="26"/>
          <w:szCs w:val="26"/>
        </w:rPr>
        <w:t>. Nghị định 135/2020/NĐ-CP</w:t>
      </w:r>
      <w:r w:rsidR="00E37384" w:rsidRPr="00E37384">
        <w:rPr>
          <w:color w:val="000000"/>
          <w:sz w:val="26"/>
          <w:szCs w:val="26"/>
        </w:rPr>
        <w:t xml:space="preserve"> quy định về tuổi nghỉ hưu trong điều kiện lao động bình thường như sau:</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Tuổi nghỉ hưu của người lao động trong điều kiện lao động bình thường theo khoản 2 Điều 169</w:t>
      </w:r>
      <w:r w:rsidR="00A873A6" w:rsidRPr="00A873A6">
        <w:rPr>
          <w:rFonts w:ascii="Times New Roman" w:eastAsia="Times New Roman" w:hAnsi="Times New Roman" w:cs="Times New Roman"/>
          <w:color w:val="000000"/>
          <w:kern w:val="0"/>
          <w:sz w:val="26"/>
          <w:szCs w:val="26"/>
          <w14:ligatures w14:val="none"/>
        </w:rPr>
        <w:t xml:space="preserve"> Bộ Luật lao động 2019 </w:t>
      </w:r>
      <w:r w:rsidRPr="00E37384">
        <w:rPr>
          <w:rFonts w:ascii="Times New Roman" w:eastAsia="Times New Roman" w:hAnsi="Times New Roman" w:cs="Times New Roman"/>
          <w:color w:val="000000"/>
          <w:kern w:val="0"/>
          <w:sz w:val="26"/>
          <w:szCs w:val="26"/>
          <w14:ligatures w14:val="none"/>
        </w:rPr>
        <w:t>được quy định cụ thể như sau:</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Kể từ ngày 01/01/2021,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cho đến khi đủ 62 tuổi vào năm 2028 và cứ mỗi năm tăng thêm 04 tháng đối với lao động nữ cho đến khi đủ 60 tuổi vào năm 2035.</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Cụ thể lộ trình điều chỉnh tuổi nghỉ hưu:</w:t>
      </w:r>
    </w:p>
    <w:tbl>
      <w:tblPr>
        <w:tblW w:w="0" w:type="auto"/>
        <w:tblCellMar>
          <w:left w:w="0" w:type="dxa"/>
          <w:right w:w="0" w:type="dxa"/>
        </w:tblCellMar>
        <w:tblLook w:val="04A0" w:firstRow="1" w:lastRow="0" w:firstColumn="1" w:lastColumn="0" w:noHBand="0" w:noVBand="1"/>
      </w:tblPr>
      <w:tblGrid>
        <w:gridCol w:w="2041"/>
        <w:gridCol w:w="1583"/>
        <w:gridCol w:w="2041"/>
        <w:gridCol w:w="1583"/>
      </w:tblGrid>
      <w:tr w:rsidR="00E37384" w:rsidRPr="00E37384" w:rsidTr="00E37384">
        <w:trPr>
          <w:trHeight w:val="51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Lao động nam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Lao động nữ</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Năm nghỉ hưu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Tuổi nghỉ hưu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Năm nghỉ hưu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Tuổi nghỉ hưu</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60 tuổi 3 tháng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55 tuổi 4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60 tuổi 6 tháng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55 tuổi 8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lastRenderedPageBreak/>
              <w:t>2023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60 tuổi 9 tháng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56 tuổi</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61 tuổi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56 tuổi 4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61 tuổi 3 tháng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56 tuổi 8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61 tuổi 6 tháng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57 tuổi</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61 tuổi 9 tháng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57 tuổi 4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Từ năm 2028 trở đi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62 tuổi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57 tuổi 8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58 tuổi</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2030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58 tuổi 4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58 tuổi 8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59 tuổi</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59 tuổi 4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2034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59 tuổi 8 tháng</w:t>
            </w:r>
          </w:p>
        </w:tc>
      </w:tr>
      <w:tr w:rsidR="00E37384" w:rsidRPr="00E37384" w:rsidTr="00E37384">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Từ năm 2035 trở đi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37384" w:rsidRPr="00E37384" w:rsidRDefault="00E37384" w:rsidP="00E37384">
            <w:pPr>
              <w:jc w:val="center"/>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60 tuổi</w:t>
            </w:r>
          </w:p>
        </w:tc>
      </w:tr>
    </w:tbl>
    <w:p w:rsidR="00A873A6"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Như vậy, tuổi nghỉ hưu năm 2025 đối với lao động nam trong điều kiện bình thường là 61 tuổi 3 tháng, đối với lao động nữ trong điều kiện bình thường là 56 tuổi 8 tháng.</w:t>
      </w:r>
    </w:p>
    <w:p w:rsidR="00E37384" w:rsidRPr="00E37384" w:rsidRDefault="00A873A6" w:rsidP="00E37384">
      <w:pPr>
        <w:jc w:val="both"/>
        <w:rPr>
          <w:rFonts w:ascii="Times New Roman" w:eastAsia="Times New Roman" w:hAnsi="Times New Roman" w:cs="Times New Roman"/>
          <w:b/>
          <w:bCs/>
          <w:color w:val="000000"/>
          <w:kern w:val="0"/>
          <w:sz w:val="26"/>
          <w:szCs w:val="26"/>
          <w14:ligatures w14:val="none"/>
        </w:rPr>
      </w:pPr>
      <w:r w:rsidRPr="00A873A6">
        <w:rPr>
          <w:rFonts w:ascii="Times New Roman" w:eastAsia="Times New Roman" w:hAnsi="Times New Roman" w:cs="Times New Roman"/>
          <w:b/>
          <w:bCs/>
          <w:color w:val="000000"/>
          <w:kern w:val="0"/>
          <w:sz w:val="26"/>
          <w:szCs w:val="26"/>
          <w14:ligatures w14:val="none"/>
        </w:rPr>
        <w:t xml:space="preserve">4. </w:t>
      </w:r>
      <w:r w:rsidR="00E37384" w:rsidRPr="00E37384">
        <w:rPr>
          <w:rFonts w:ascii="Times New Roman" w:eastAsia="Times New Roman" w:hAnsi="Times New Roman" w:cs="Times New Roman"/>
          <w:b/>
          <w:bCs/>
          <w:color w:val="000000"/>
          <w:kern w:val="0"/>
          <w:sz w:val="26"/>
          <w:szCs w:val="26"/>
          <w14:ligatures w14:val="none"/>
        </w:rPr>
        <w:t>Lương hưu năm 2025 tăng bao nhiêu?</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Theo Điều 67</w:t>
      </w:r>
      <w:r w:rsidR="00A873A6" w:rsidRPr="00A873A6">
        <w:rPr>
          <w:rFonts w:ascii="Times New Roman" w:eastAsia="Times New Roman" w:hAnsi="Times New Roman" w:cs="Times New Roman"/>
          <w:color w:val="000000"/>
          <w:kern w:val="0"/>
          <w:sz w:val="26"/>
          <w:szCs w:val="26"/>
          <w14:ligatures w14:val="none"/>
        </w:rPr>
        <w:t xml:space="preserve"> Luật bảo hiểm xã hội năm 2024 </w:t>
      </w:r>
      <w:r w:rsidRPr="00E37384">
        <w:rPr>
          <w:rFonts w:ascii="Times New Roman" w:eastAsia="Times New Roman" w:hAnsi="Times New Roman" w:cs="Times New Roman"/>
          <w:color w:val="000000"/>
          <w:kern w:val="0"/>
          <w:sz w:val="26"/>
          <w:szCs w:val="26"/>
          <w14:ligatures w14:val="none"/>
        </w:rPr>
        <w:t>quy định về điều chỉnh lương hưu như sau:</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Lương hưu được điều chỉnh trên cơ sở mức tăng của chỉ số giá tiêu dùng phù hợp với khả năng của ngân sách nhà nước và quỹ bảo hiểm xã hội.</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Điều chỉnh mức tăng lương hưu thỏa đáng đối với đối tượng có mức lương hưu thấp và nghỉ hưu trước năm 1995 bảo đảm thu hẹp khoảng cách chênh lệch lương hưu giữa người nghỉ hưu ở các thời kỳ.</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Chính phủ quy định thời điểm, đối tượng, mức điều chỉnh lương hưu quy định tại Điều 67</w:t>
      </w:r>
      <w:r w:rsidR="00A873A6" w:rsidRPr="00A873A6">
        <w:rPr>
          <w:rFonts w:ascii="Times New Roman" w:eastAsia="Times New Roman" w:hAnsi="Times New Roman" w:cs="Times New Roman"/>
          <w:color w:val="000000"/>
          <w:kern w:val="0"/>
          <w:sz w:val="26"/>
          <w:szCs w:val="26"/>
          <w14:ligatures w14:val="none"/>
        </w:rPr>
        <w:t xml:space="preserve"> </w:t>
      </w:r>
      <w:r w:rsidR="00A873A6" w:rsidRPr="00A873A6">
        <w:rPr>
          <w:rFonts w:ascii="Times New Roman" w:eastAsia="Times New Roman" w:hAnsi="Times New Roman" w:cs="Times New Roman"/>
          <w:color w:val="000000"/>
          <w:kern w:val="0"/>
          <w:sz w:val="26"/>
          <w:szCs w:val="26"/>
          <w14:ligatures w14:val="none"/>
        </w:rPr>
        <w:t xml:space="preserve">Luật bảo hiểm xã hội năm </w:t>
      </w:r>
      <w:r w:rsidR="00A873A6" w:rsidRPr="00A873A6">
        <w:rPr>
          <w:rFonts w:ascii="Times New Roman" w:eastAsia="Times New Roman" w:hAnsi="Times New Roman" w:cs="Times New Roman"/>
          <w:color w:val="000000"/>
          <w:kern w:val="0"/>
          <w:sz w:val="26"/>
          <w:szCs w:val="26"/>
          <w14:ligatures w14:val="none"/>
        </w:rPr>
        <w:t xml:space="preserve">2024. </w:t>
      </w:r>
      <w:r w:rsidRPr="00E37384">
        <w:rPr>
          <w:rFonts w:ascii="Times New Roman" w:eastAsia="Times New Roman" w:hAnsi="Times New Roman" w:cs="Times New Roman"/>
          <w:color w:val="000000"/>
          <w:kern w:val="0"/>
          <w:sz w:val="26"/>
          <w:szCs w:val="26"/>
          <w14:ligatures w14:val="none"/>
        </w:rPr>
        <w:t xml:space="preserve">Đồng thời, theo Điều </w:t>
      </w:r>
      <w:r w:rsidR="00A873A6" w:rsidRPr="00A873A6">
        <w:rPr>
          <w:rFonts w:ascii="Times New Roman" w:eastAsia="Times New Roman" w:hAnsi="Times New Roman" w:cs="Times New Roman"/>
          <w:color w:val="000000"/>
          <w:kern w:val="0"/>
          <w:sz w:val="26"/>
          <w:szCs w:val="26"/>
          <w14:ligatures w14:val="none"/>
        </w:rPr>
        <w:t xml:space="preserve">99 </w:t>
      </w:r>
      <w:r w:rsidR="00A873A6" w:rsidRPr="00A873A6">
        <w:rPr>
          <w:rFonts w:ascii="Times New Roman" w:eastAsia="Times New Roman" w:hAnsi="Times New Roman" w:cs="Times New Roman"/>
          <w:color w:val="000000"/>
          <w:kern w:val="0"/>
          <w:sz w:val="26"/>
          <w:szCs w:val="26"/>
          <w14:ligatures w14:val="none"/>
        </w:rPr>
        <w:t>Luật bảo hiểm xã hội năm 2024</w:t>
      </w:r>
      <w:r w:rsidR="00A873A6" w:rsidRPr="00A873A6">
        <w:rPr>
          <w:rFonts w:ascii="Times New Roman" w:eastAsia="Times New Roman" w:hAnsi="Times New Roman" w:cs="Times New Roman"/>
          <w:color w:val="000000"/>
          <w:kern w:val="0"/>
          <w:sz w:val="26"/>
          <w:szCs w:val="26"/>
          <w14:ligatures w14:val="none"/>
        </w:rPr>
        <w:t xml:space="preserve"> </w:t>
      </w:r>
      <w:r w:rsidRPr="00E37384">
        <w:rPr>
          <w:rFonts w:ascii="Times New Roman" w:eastAsia="Times New Roman" w:hAnsi="Times New Roman" w:cs="Times New Roman"/>
          <w:color w:val="000000"/>
          <w:kern w:val="0"/>
          <w:sz w:val="26"/>
          <w:szCs w:val="26"/>
          <w14:ligatures w14:val="none"/>
        </w:rPr>
        <w:t>quy định về mức lương hưu hằng tháng như sau:</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Mức lương hưu hằng tháng của đối tượng đủ điều kiện quy định tại Điều 98 của Luật này được tính như sau:</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Đối với lao động nữ bằng 45% mức bình quân thu nhập làm căn cứ đóng bảo hiểm xã hội quy định tại Điều 104</w:t>
      </w:r>
      <w:r w:rsidR="00A873A6" w:rsidRPr="00A873A6">
        <w:rPr>
          <w:rFonts w:ascii="Times New Roman" w:eastAsia="Times New Roman" w:hAnsi="Times New Roman" w:cs="Times New Roman"/>
          <w:color w:val="000000"/>
          <w:kern w:val="0"/>
          <w:sz w:val="26"/>
          <w:szCs w:val="26"/>
          <w14:ligatures w14:val="none"/>
        </w:rPr>
        <w:t xml:space="preserve"> </w:t>
      </w:r>
      <w:r w:rsidR="00A873A6" w:rsidRPr="00A873A6">
        <w:rPr>
          <w:rFonts w:ascii="Times New Roman" w:eastAsia="Times New Roman" w:hAnsi="Times New Roman" w:cs="Times New Roman"/>
          <w:color w:val="000000"/>
          <w:kern w:val="0"/>
          <w:sz w:val="26"/>
          <w:szCs w:val="26"/>
          <w14:ligatures w14:val="none"/>
        </w:rPr>
        <w:t xml:space="preserve">Luật bảo hiểm xã hội năm </w:t>
      </w:r>
      <w:r w:rsidR="00A873A6" w:rsidRPr="00A873A6">
        <w:rPr>
          <w:rFonts w:ascii="Times New Roman" w:eastAsia="Times New Roman" w:hAnsi="Times New Roman" w:cs="Times New Roman"/>
          <w:color w:val="000000"/>
          <w:kern w:val="0"/>
          <w:sz w:val="26"/>
          <w:szCs w:val="26"/>
          <w14:ligatures w14:val="none"/>
        </w:rPr>
        <w:t xml:space="preserve">2024 </w:t>
      </w:r>
      <w:r w:rsidRPr="00E37384">
        <w:rPr>
          <w:rFonts w:ascii="Times New Roman" w:eastAsia="Times New Roman" w:hAnsi="Times New Roman" w:cs="Times New Roman"/>
          <w:color w:val="000000"/>
          <w:kern w:val="0"/>
          <w:sz w:val="26"/>
          <w:szCs w:val="26"/>
          <w14:ligatures w14:val="none"/>
        </w:rPr>
        <w:t>tương ứng 15 năm đóng bảo hiểm xã hội, sau đó cứ thêm mỗi năm đóng thì tính thêm 2%, mức tối đa bằng 75%;</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Đối với lao động nam bằng 45% mức bình quân thu nhập làm căn cứ đóng bảo hiểm xã hội quy định tại Điều 104</w:t>
      </w:r>
      <w:r w:rsidR="00A873A6" w:rsidRPr="00A873A6">
        <w:rPr>
          <w:rFonts w:ascii="Times New Roman" w:eastAsia="Times New Roman" w:hAnsi="Times New Roman" w:cs="Times New Roman"/>
          <w:color w:val="000000"/>
          <w:kern w:val="0"/>
          <w:sz w:val="26"/>
          <w:szCs w:val="26"/>
          <w14:ligatures w14:val="none"/>
        </w:rPr>
        <w:t xml:space="preserve"> </w:t>
      </w:r>
      <w:r w:rsidR="00A873A6" w:rsidRPr="00A873A6">
        <w:rPr>
          <w:rFonts w:ascii="Times New Roman" w:eastAsia="Times New Roman" w:hAnsi="Times New Roman" w:cs="Times New Roman"/>
          <w:color w:val="000000"/>
          <w:kern w:val="0"/>
          <w:sz w:val="26"/>
          <w:szCs w:val="26"/>
          <w14:ligatures w14:val="none"/>
        </w:rPr>
        <w:t xml:space="preserve">Luật bảo hiểm xã hội năm </w:t>
      </w:r>
      <w:r w:rsidR="00A873A6" w:rsidRPr="00A873A6">
        <w:rPr>
          <w:rFonts w:ascii="Times New Roman" w:eastAsia="Times New Roman" w:hAnsi="Times New Roman" w:cs="Times New Roman"/>
          <w:color w:val="000000"/>
          <w:kern w:val="0"/>
          <w:sz w:val="26"/>
          <w:szCs w:val="26"/>
          <w14:ligatures w14:val="none"/>
        </w:rPr>
        <w:t xml:space="preserve">2024 </w:t>
      </w:r>
      <w:r w:rsidRPr="00E37384">
        <w:rPr>
          <w:rFonts w:ascii="Times New Roman" w:eastAsia="Times New Roman" w:hAnsi="Times New Roman" w:cs="Times New Roman"/>
          <w:color w:val="000000"/>
          <w:kern w:val="0"/>
          <w:sz w:val="26"/>
          <w:szCs w:val="26"/>
          <w14:ligatures w14:val="none"/>
        </w:rPr>
        <w:t>tương ứng 20 năm đóng bảo hiểm xã hội, sau đó cứ thêm mỗi năm đóng thì tính thêm 2%, mức tối đa bằng 75%.</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lastRenderedPageBreak/>
        <w:t>Trường hợp lao động nam có thời gian đóng bảo hiểm xã hội từ đủ 15 năm đến dưới 20 năm, mức lương hưu hằng tháng bằng 40% mức bình quân thu nhập làm căn cứ đóng bảo hiểm xã hội quy định tại Điều 104</w:t>
      </w:r>
      <w:r w:rsidR="00A873A6" w:rsidRPr="00A873A6">
        <w:rPr>
          <w:rFonts w:ascii="Times New Roman" w:eastAsia="Times New Roman" w:hAnsi="Times New Roman" w:cs="Times New Roman"/>
          <w:color w:val="000000"/>
          <w:kern w:val="0"/>
          <w:sz w:val="26"/>
          <w:szCs w:val="26"/>
          <w14:ligatures w14:val="none"/>
        </w:rPr>
        <w:t xml:space="preserve"> </w:t>
      </w:r>
      <w:r w:rsidR="00A873A6" w:rsidRPr="00A873A6">
        <w:rPr>
          <w:rFonts w:ascii="Times New Roman" w:eastAsia="Times New Roman" w:hAnsi="Times New Roman" w:cs="Times New Roman"/>
          <w:color w:val="000000"/>
          <w:kern w:val="0"/>
          <w:sz w:val="26"/>
          <w:szCs w:val="26"/>
          <w14:ligatures w14:val="none"/>
        </w:rPr>
        <w:t xml:space="preserve">Luật bảo hiểm xã hội năm </w:t>
      </w:r>
      <w:r w:rsidR="00A873A6" w:rsidRPr="00A873A6">
        <w:rPr>
          <w:rFonts w:ascii="Times New Roman" w:eastAsia="Times New Roman" w:hAnsi="Times New Roman" w:cs="Times New Roman"/>
          <w:color w:val="000000"/>
          <w:kern w:val="0"/>
          <w:sz w:val="26"/>
          <w:szCs w:val="26"/>
          <w14:ligatures w14:val="none"/>
        </w:rPr>
        <w:t xml:space="preserve">2024 </w:t>
      </w:r>
      <w:r w:rsidRPr="00E37384">
        <w:rPr>
          <w:rFonts w:ascii="Times New Roman" w:eastAsia="Times New Roman" w:hAnsi="Times New Roman" w:cs="Times New Roman"/>
          <w:color w:val="000000"/>
          <w:kern w:val="0"/>
          <w:sz w:val="26"/>
          <w:szCs w:val="26"/>
          <w14:ligatures w14:val="none"/>
        </w:rPr>
        <w:t>tương ứng 15 năm đóng bảo hiểm xã hội, sau đó cứ thêm mỗi năm đóng thì tính thêm 1%.</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 Việc điều chỉnh lương hưu được thực hiện theo quy định tại Điều 67</w:t>
      </w:r>
      <w:r w:rsidR="00A873A6" w:rsidRPr="00A873A6">
        <w:rPr>
          <w:rFonts w:ascii="Times New Roman" w:eastAsia="Times New Roman" w:hAnsi="Times New Roman" w:cs="Times New Roman"/>
          <w:color w:val="000000"/>
          <w:kern w:val="0"/>
          <w:sz w:val="26"/>
          <w:szCs w:val="26"/>
          <w14:ligatures w14:val="none"/>
        </w:rPr>
        <w:t xml:space="preserve"> </w:t>
      </w:r>
      <w:r w:rsidR="00A873A6" w:rsidRPr="00A873A6">
        <w:rPr>
          <w:rFonts w:ascii="Times New Roman" w:eastAsia="Times New Roman" w:hAnsi="Times New Roman" w:cs="Times New Roman"/>
          <w:color w:val="000000"/>
          <w:kern w:val="0"/>
          <w:sz w:val="26"/>
          <w:szCs w:val="26"/>
          <w14:ligatures w14:val="none"/>
        </w:rPr>
        <w:t xml:space="preserve">Luật bảo hiểm xã hội năm </w:t>
      </w:r>
      <w:r w:rsidR="00A873A6" w:rsidRPr="00A873A6">
        <w:rPr>
          <w:rFonts w:ascii="Times New Roman" w:eastAsia="Times New Roman" w:hAnsi="Times New Roman" w:cs="Times New Roman"/>
          <w:color w:val="000000"/>
          <w:kern w:val="0"/>
          <w:sz w:val="26"/>
          <w:szCs w:val="26"/>
          <w14:ligatures w14:val="none"/>
        </w:rPr>
        <w:t>2024</w:t>
      </w:r>
    </w:p>
    <w:p w:rsidR="00E37384" w:rsidRPr="00E37384" w:rsidRDefault="00E37384" w:rsidP="00E37384">
      <w:pPr>
        <w:jc w:val="both"/>
        <w:rPr>
          <w:rFonts w:ascii="Times New Roman" w:eastAsia="Times New Roman" w:hAnsi="Times New Roman" w:cs="Times New Roman"/>
          <w:color w:val="000000"/>
          <w:kern w:val="0"/>
          <w:sz w:val="26"/>
          <w:szCs w:val="26"/>
          <w14:ligatures w14:val="none"/>
        </w:rPr>
      </w:pPr>
      <w:r w:rsidRPr="00E37384">
        <w:rPr>
          <w:rFonts w:ascii="Times New Roman" w:eastAsia="Times New Roman" w:hAnsi="Times New Roman" w:cs="Times New Roman"/>
          <w:color w:val="000000"/>
          <w:kern w:val="0"/>
          <w:sz w:val="26"/>
          <w:szCs w:val="26"/>
          <w14:ligatures w14:val="none"/>
        </w:rPr>
        <w:t>Như vậy, theo quy định nêu trên, kể từ ngày</w:t>
      </w:r>
      <w:r w:rsidR="00A873A6" w:rsidRPr="00A873A6">
        <w:rPr>
          <w:rFonts w:ascii="Times New Roman" w:eastAsia="Times New Roman" w:hAnsi="Times New Roman" w:cs="Times New Roman"/>
          <w:color w:val="000000"/>
          <w:kern w:val="0"/>
          <w:sz w:val="26"/>
          <w:szCs w:val="26"/>
          <w14:ligatures w14:val="none"/>
        </w:rPr>
        <w:t xml:space="preserve"> </w:t>
      </w:r>
      <w:r w:rsidR="00A873A6" w:rsidRPr="00A873A6">
        <w:rPr>
          <w:rFonts w:ascii="Times New Roman" w:eastAsia="Times New Roman" w:hAnsi="Times New Roman" w:cs="Times New Roman"/>
          <w:color w:val="000000"/>
          <w:kern w:val="0"/>
          <w:sz w:val="26"/>
          <w:szCs w:val="26"/>
          <w14:ligatures w14:val="none"/>
        </w:rPr>
        <w:t xml:space="preserve">Luật bảo hiểm xã hội năm </w:t>
      </w:r>
      <w:r w:rsidR="00A873A6" w:rsidRPr="00A873A6">
        <w:rPr>
          <w:rFonts w:ascii="Times New Roman" w:eastAsia="Times New Roman" w:hAnsi="Times New Roman" w:cs="Times New Roman"/>
          <w:color w:val="000000"/>
          <w:kern w:val="0"/>
          <w:sz w:val="26"/>
          <w:szCs w:val="26"/>
          <w14:ligatures w14:val="none"/>
        </w:rPr>
        <w:t>2024</w:t>
      </w:r>
      <w:r w:rsidRPr="00E37384">
        <w:rPr>
          <w:rFonts w:ascii="Times New Roman" w:eastAsia="Times New Roman" w:hAnsi="Times New Roman" w:cs="Times New Roman"/>
          <w:color w:val="000000"/>
          <w:kern w:val="0"/>
          <w:sz w:val="26"/>
          <w:szCs w:val="26"/>
          <w14:ligatures w14:val="none"/>
        </w:rPr>
        <w:t xml:space="preserve"> có hiệu lực thi hành, tức ngày 01/7/2025, thì sẽ điều chỉnh tăng lương hưu thỏa đáng đối với đối tượng có mức lương hưu thấp và nghỉ hưu trước năm 1995. Thời điểm và mức tăng cụ thể sẽ do Chính phủ quy định.</w:t>
      </w:r>
    </w:p>
    <w:p w:rsidR="005B3DA1" w:rsidRPr="005B3DA1" w:rsidRDefault="005B3DA1" w:rsidP="00A33BAC">
      <w:pPr>
        <w:shd w:val="clear" w:color="auto" w:fill="FFFFFF"/>
        <w:spacing w:after="150"/>
        <w:jc w:val="both"/>
        <w:rPr>
          <w:rFonts w:ascii="Times New Roman" w:eastAsia="Times New Roman" w:hAnsi="Times New Roman" w:cs="Times New Roman"/>
          <w:b/>
          <w:bCs/>
          <w:color w:val="337AB7"/>
          <w:kern w:val="0"/>
          <w:sz w:val="26"/>
          <w:szCs w:val="26"/>
          <w:lang w:val="vi-VN"/>
          <w14:ligatures w14:val="none"/>
        </w:rPr>
      </w:pPr>
    </w:p>
    <w:p w:rsidR="005B3DA1" w:rsidRPr="005B3DA1" w:rsidRDefault="005B3DA1" w:rsidP="00A33BAC">
      <w:pPr>
        <w:shd w:val="clear" w:color="auto" w:fill="FFFFFF"/>
        <w:rPr>
          <w:rFonts w:ascii="Times New Roman" w:eastAsia="Times New Roman" w:hAnsi="Times New Roman" w:cs="Times New Roman"/>
          <w:i/>
          <w:iCs/>
          <w:color w:val="000000"/>
          <w:kern w:val="0"/>
          <w:sz w:val="26"/>
          <w:szCs w:val="26"/>
          <w14:ligatures w14:val="none"/>
        </w:rPr>
      </w:pPr>
    </w:p>
    <w:p w:rsidR="005B3DA1" w:rsidRPr="00A33BAC" w:rsidRDefault="005B3DA1" w:rsidP="00A33BAC">
      <w:pPr>
        <w:rPr>
          <w:rFonts w:ascii="Times New Roman" w:hAnsi="Times New Roman" w:cs="Times New Roman"/>
          <w:sz w:val="26"/>
          <w:szCs w:val="26"/>
        </w:rPr>
      </w:pPr>
    </w:p>
    <w:sectPr w:rsidR="005B3DA1" w:rsidRPr="00A33B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65A84"/>
    <w:multiLevelType w:val="hybridMultilevel"/>
    <w:tmpl w:val="455066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67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A1"/>
    <w:rsid w:val="0036133F"/>
    <w:rsid w:val="005B3DA1"/>
    <w:rsid w:val="00A33BAC"/>
    <w:rsid w:val="00A873A6"/>
    <w:rsid w:val="00E3738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A7E9990"/>
  <w15:chartTrackingRefBased/>
  <w15:docId w15:val="{C079ACA5-5740-214E-8148-B7E6228C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5B3DA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B3DA1"/>
    <w:rPr>
      <w:color w:val="0000FF"/>
      <w:u w:val="single"/>
    </w:rPr>
  </w:style>
  <w:style w:type="character" w:customStyle="1" w:styleId="rank150x150">
    <w:name w:val="rank150x150"/>
    <w:basedOn w:val="DefaultParagraphFont"/>
    <w:rsid w:val="005B3DA1"/>
  </w:style>
  <w:style w:type="character" w:customStyle="1" w:styleId="rowsttcol1">
    <w:name w:val="rows_ttcol1"/>
    <w:basedOn w:val="DefaultParagraphFont"/>
    <w:rsid w:val="005B3DA1"/>
  </w:style>
  <w:style w:type="character" w:customStyle="1" w:styleId="rowsttcol2">
    <w:name w:val="rows_ttcol2"/>
    <w:basedOn w:val="DefaultParagraphFont"/>
    <w:rsid w:val="005B3DA1"/>
  </w:style>
  <w:style w:type="paragraph" w:customStyle="1" w:styleId="right">
    <w:name w:val="right"/>
    <w:basedOn w:val="Normal"/>
    <w:rsid w:val="005B3DA1"/>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5B3DA1"/>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3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35">
      <w:bodyDiv w:val="1"/>
      <w:marLeft w:val="0"/>
      <w:marRight w:val="0"/>
      <w:marTop w:val="0"/>
      <w:marBottom w:val="0"/>
      <w:divBdr>
        <w:top w:val="none" w:sz="0" w:space="0" w:color="auto"/>
        <w:left w:val="none" w:sz="0" w:space="0" w:color="auto"/>
        <w:bottom w:val="none" w:sz="0" w:space="0" w:color="auto"/>
        <w:right w:val="none" w:sz="0" w:space="0" w:color="auto"/>
      </w:divBdr>
    </w:div>
    <w:div w:id="1232081737">
      <w:bodyDiv w:val="1"/>
      <w:marLeft w:val="0"/>
      <w:marRight w:val="0"/>
      <w:marTop w:val="0"/>
      <w:marBottom w:val="0"/>
      <w:divBdr>
        <w:top w:val="none" w:sz="0" w:space="0" w:color="auto"/>
        <w:left w:val="none" w:sz="0" w:space="0" w:color="auto"/>
        <w:bottom w:val="none" w:sz="0" w:space="0" w:color="auto"/>
        <w:right w:val="none" w:sz="0" w:space="0" w:color="auto"/>
      </w:divBdr>
    </w:div>
    <w:div w:id="1364669688">
      <w:bodyDiv w:val="1"/>
      <w:marLeft w:val="0"/>
      <w:marRight w:val="0"/>
      <w:marTop w:val="0"/>
      <w:marBottom w:val="0"/>
      <w:divBdr>
        <w:top w:val="none" w:sz="0" w:space="0" w:color="auto"/>
        <w:left w:val="none" w:sz="0" w:space="0" w:color="auto"/>
        <w:bottom w:val="none" w:sz="0" w:space="0" w:color="auto"/>
        <w:right w:val="none" w:sz="0" w:space="0" w:color="auto"/>
      </w:divBdr>
    </w:div>
    <w:div w:id="1430544092">
      <w:bodyDiv w:val="1"/>
      <w:marLeft w:val="0"/>
      <w:marRight w:val="0"/>
      <w:marTop w:val="0"/>
      <w:marBottom w:val="0"/>
      <w:divBdr>
        <w:top w:val="none" w:sz="0" w:space="0" w:color="auto"/>
        <w:left w:val="none" w:sz="0" w:space="0" w:color="auto"/>
        <w:bottom w:val="none" w:sz="0" w:space="0" w:color="auto"/>
        <w:right w:val="none" w:sz="0" w:space="0" w:color="auto"/>
      </w:divBdr>
    </w:div>
    <w:div w:id="1939479291">
      <w:bodyDiv w:val="1"/>
      <w:marLeft w:val="0"/>
      <w:marRight w:val="0"/>
      <w:marTop w:val="0"/>
      <w:marBottom w:val="0"/>
      <w:divBdr>
        <w:top w:val="none" w:sz="0" w:space="0" w:color="auto"/>
        <w:left w:val="none" w:sz="0" w:space="0" w:color="auto"/>
        <w:bottom w:val="none" w:sz="0" w:space="0" w:color="auto"/>
        <w:right w:val="none" w:sz="0" w:space="0" w:color="auto"/>
      </w:divBdr>
      <w:divsChild>
        <w:div w:id="822936082">
          <w:marLeft w:val="0"/>
          <w:marRight w:val="0"/>
          <w:marTop w:val="0"/>
          <w:marBottom w:val="150"/>
          <w:divBdr>
            <w:top w:val="single" w:sz="6" w:space="4" w:color="DDDDDD"/>
            <w:left w:val="single" w:sz="6" w:space="4" w:color="DDDDDD"/>
            <w:bottom w:val="single" w:sz="6" w:space="4" w:color="DDDDDD"/>
            <w:right w:val="single" w:sz="6" w:space="4" w:color="DDDDDD"/>
          </w:divBdr>
          <w:divsChild>
            <w:div w:id="1115173714">
              <w:marLeft w:val="0"/>
              <w:marRight w:val="0"/>
              <w:marTop w:val="0"/>
              <w:marBottom w:val="0"/>
              <w:divBdr>
                <w:top w:val="none" w:sz="0" w:space="0" w:color="auto"/>
                <w:left w:val="none" w:sz="0" w:space="0" w:color="auto"/>
                <w:bottom w:val="none" w:sz="0" w:space="0" w:color="auto"/>
                <w:right w:val="none" w:sz="0" w:space="0" w:color="auto"/>
              </w:divBdr>
              <w:divsChild>
                <w:div w:id="869295967">
                  <w:marLeft w:val="0"/>
                  <w:marRight w:val="0"/>
                  <w:marTop w:val="0"/>
                  <w:marBottom w:val="0"/>
                  <w:divBdr>
                    <w:top w:val="none" w:sz="0" w:space="0" w:color="auto"/>
                    <w:left w:val="none" w:sz="0" w:space="0" w:color="auto"/>
                    <w:bottom w:val="none" w:sz="0" w:space="0" w:color="auto"/>
                    <w:right w:val="none" w:sz="0" w:space="0" w:color="auto"/>
                  </w:divBdr>
                </w:div>
              </w:divsChild>
            </w:div>
            <w:div w:id="1552881443">
              <w:marLeft w:val="0"/>
              <w:marRight w:val="0"/>
              <w:marTop w:val="0"/>
              <w:marBottom w:val="0"/>
              <w:divBdr>
                <w:top w:val="none" w:sz="0" w:space="0" w:color="auto"/>
                <w:left w:val="none" w:sz="0" w:space="0" w:color="auto"/>
                <w:bottom w:val="none" w:sz="0" w:space="0" w:color="auto"/>
                <w:right w:val="none" w:sz="0" w:space="0" w:color="auto"/>
              </w:divBdr>
            </w:div>
            <w:div w:id="2085225003">
              <w:marLeft w:val="1500"/>
              <w:marRight w:val="0"/>
              <w:marTop w:val="150"/>
              <w:marBottom w:val="0"/>
              <w:divBdr>
                <w:top w:val="single" w:sz="12" w:space="8" w:color="F79522"/>
                <w:left w:val="none" w:sz="0" w:space="0" w:color="auto"/>
                <w:bottom w:val="none" w:sz="0" w:space="0" w:color="auto"/>
                <w:right w:val="none" w:sz="0" w:space="0" w:color="auto"/>
              </w:divBdr>
              <w:divsChild>
                <w:div w:id="914631092">
                  <w:marLeft w:val="0"/>
                  <w:marRight w:val="0"/>
                  <w:marTop w:val="0"/>
                  <w:marBottom w:val="0"/>
                  <w:divBdr>
                    <w:top w:val="none" w:sz="0" w:space="0" w:color="auto"/>
                    <w:left w:val="none" w:sz="0" w:space="0" w:color="auto"/>
                    <w:bottom w:val="none" w:sz="0" w:space="0" w:color="auto"/>
                    <w:right w:val="none" w:sz="0" w:space="0" w:color="auto"/>
                  </w:divBdr>
                </w:div>
                <w:div w:id="2140881609">
                  <w:marLeft w:val="0"/>
                  <w:marRight w:val="0"/>
                  <w:marTop w:val="0"/>
                  <w:marBottom w:val="0"/>
                  <w:divBdr>
                    <w:top w:val="none" w:sz="0" w:space="0" w:color="auto"/>
                    <w:left w:val="none" w:sz="0" w:space="0" w:color="auto"/>
                    <w:bottom w:val="none" w:sz="0" w:space="0" w:color="auto"/>
                    <w:right w:val="none" w:sz="0" w:space="0" w:color="auto"/>
                  </w:divBdr>
                </w:div>
                <w:div w:id="885677819">
                  <w:marLeft w:val="0"/>
                  <w:marRight w:val="0"/>
                  <w:marTop w:val="0"/>
                  <w:marBottom w:val="0"/>
                  <w:divBdr>
                    <w:top w:val="none" w:sz="0" w:space="0" w:color="auto"/>
                    <w:left w:val="none" w:sz="0" w:space="0" w:color="auto"/>
                    <w:bottom w:val="none" w:sz="0" w:space="0" w:color="auto"/>
                    <w:right w:val="none" w:sz="0" w:space="0" w:color="auto"/>
                  </w:divBdr>
                </w:div>
                <w:div w:id="1474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2024-11-13T07:56:00Z</dcterms:created>
  <dcterms:modified xsi:type="dcterms:W3CDTF">2024-11-13T08:37:00Z</dcterms:modified>
</cp:coreProperties>
</file>