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AD" w:rsidRPr="0087192E" w:rsidRDefault="00D57EAD" w:rsidP="00D57EAD">
      <w:pPr>
        <w:shd w:val="clear" w:color="auto" w:fill="FFFFFF"/>
        <w:spacing w:before="150" w:after="0" w:line="240" w:lineRule="auto"/>
        <w:jc w:val="center"/>
        <w:outlineLvl w:val="0"/>
        <w:rPr>
          <w:rFonts w:ascii="Times New Roman" w:eastAsia="Times New Roman" w:hAnsi="Times New Roman" w:cs="Times New Roman"/>
          <w:b/>
          <w:bCs/>
          <w:color w:val="000000" w:themeColor="text1"/>
          <w:kern w:val="36"/>
          <w:sz w:val="26"/>
          <w:szCs w:val="26"/>
        </w:rPr>
      </w:pPr>
      <w:r w:rsidRPr="0087192E">
        <w:rPr>
          <w:rFonts w:ascii="Times New Roman" w:eastAsia="Times New Roman" w:hAnsi="Times New Roman" w:cs="Times New Roman"/>
          <w:b/>
          <w:bCs/>
          <w:color w:val="000000" w:themeColor="text1"/>
          <w:kern w:val="36"/>
          <w:sz w:val="26"/>
          <w:szCs w:val="26"/>
        </w:rPr>
        <w:tab/>
        <w:t>QUY TRÌNH HOÀN THUẾ GTGT MỚI NHẤT 2024</w:t>
      </w:r>
    </w:p>
    <w:p w:rsidR="00D57EAD" w:rsidRPr="0087192E" w:rsidRDefault="00D57EAD" w:rsidP="00D57EAD">
      <w:pPr>
        <w:pStyle w:val="ListParagraph"/>
        <w:numPr>
          <w:ilvl w:val="0"/>
          <w:numId w:val="3"/>
        </w:numPr>
        <w:shd w:val="clear" w:color="auto" w:fill="FFFFFF"/>
        <w:spacing w:before="300" w:after="150" w:line="240" w:lineRule="auto"/>
        <w:outlineLvl w:val="1"/>
        <w:rPr>
          <w:rFonts w:ascii="Times New Roman" w:eastAsia="Times New Roman" w:hAnsi="Times New Roman" w:cs="Times New Roman"/>
          <w:color w:val="000000" w:themeColor="text1"/>
          <w:sz w:val="26"/>
          <w:szCs w:val="26"/>
        </w:rPr>
      </w:pPr>
      <w:r w:rsidRPr="0087192E">
        <w:rPr>
          <w:rFonts w:ascii="Times New Roman" w:eastAsia="Times New Roman" w:hAnsi="Times New Roman" w:cs="Times New Roman"/>
          <w:b/>
          <w:bCs/>
          <w:color w:val="000000" w:themeColor="text1"/>
          <w:sz w:val="26"/>
          <w:szCs w:val="26"/>
        </w:rPr>
        <w:t>Các trường hợp hoàn thuế GTGT</w:t>
      </w:r>
    </w:p>
    <w:p w:rsidR="00D57EAD" w:rsidRPr="00D57EAD" w:rsidRDefault="00D57EAD" w:rsidP="00D57EAD">
      <w:pPr>
        <w:shd w:val="clear" w:color="auto" w:fill="FFFFFF"/>
        <w:spacing w:after="150" w:line="240" w:lineRule="auto"/>
        <w:ind w:firstLine="360"/>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Căn cứ Điều 13 </w:t>
      </w:r>
      <w:hyperlink r:id="rId6" w:tgtFrame="_blank" w:history="1">
        <w:r w:rsidRPr="0087192E">
          <w:rPr>
            <w:rFonts w:ascii="Times New Roman" w:eastAsia="Times New Roman" w:hAnsi="Times New Roman" w:cs="Times New Roman"/>
            <w:color w:val="000000" w:themeColor="text1"/>
            <w:sz w:val="26"/>
            <w:szCs w:val="26"/>
          </w:rPr>
          <w:t>Luật Thuế giá trị gia tăng 2008</w:t>
        </w:r>
      </w:hyperlink>
      <w:r w:rsidRPr="00D57EAD">
        <w:rPr>
          <w:rFonts w:ascii="Times New Roman" w:eastAsia="Times New Roman" w:hAnsi="Times New Roman" w:cs="Times New Roman"/>
          <w:color w:val="000000" w:themeColor="text1"/>
          <w:sz w:val="26"/>
          <w:szCs w:val="26"/>
        </w:rPr>
        <w:t> (sửa đổi, bổ sung năm 2013, 2014, 2016) quy định các trường hợp hoàn thuế GTGT gồm:</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(1) Cơ sở kinh doanh nộp thuế GTGT </w:t>
      </w:r>
      <w:proofErr w:type="gramStart"/>
      <w:r w:rsidRPr="00D57EAD">
        <w:rPr>
          <w:rFonts w:ascii="Times New Roman" w:eastAsia="Times New Roman" w:hAnsi="Times New Roman" w:cs="Times New Roman"/>
          <w:color w:val="000000" w:themeColor="text1"/>
          <w:sz w:val="26"/>
          <w:szCs w:val="26"/>
        </w:rPr>
        <w:t>theo</w:t>
      </w:r>
      <w:proofErr w:type="gramEnd"/>
      <w:r w:rsidRPr="00D57EAD">
        <w:rPr>
          <w:rFonts w:ascii="Times New Roman" w:eastAsia="Times New Roman" w:hAnsi="Times New Roman" w:cs="Times New Roman"/>
          <w:color w:val="000000" w:themeColor="text1"/>
          <w:sz w:val="26"/>
          <w:szCs w:val="26"/>
        </w:rPr>
        <w:t xml:space="preserve"> phương pháp khấu trừ thuế nếu có số thuế GTGT đầu vào chưa được khấu trừ h</w:t>
      </w:r>
      <w:bookmarkStart w:id="0" w:name="_GoBack"/>
      <w:bookmarkEnd w:id="0"/>
      <w:r w:rsidRPr="00D57EAD">
        <w:rPr>
          <w:rFonts w:ascii="Times New Roman" w:eastAsia="Times New Roman" w:hAnsi="Times New Roman" w:cs="Times New Roman"/>
          <w:color w:val="000000" w:themeColor="text1"/>
          <w:sz w:val="26"/>
          <w:szCs w:val="26"/>
        </w:rPr>
        <w:t>ết trong tháng hoặc trong quý thì được khấu trừ vào kỳ tiếp theo.</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Trường hợp cơ sở kinh doanh đã đăng ký nộp thuế GTGT theo phương pháp khấu trừ có dự án đầu tư mới, đang trong giai đoạn đầu tư có số thuế GTGT của hàng hóa, dịch vụ mua vào sử dụng cho đầu tư mà chưa được khấu trừ và có số thuế còn lại từ ba trăm triệu đồng trở lên thì được hoàn thuế GTGT.</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Cơ sở kinh doanh không được hoàn thuế GTGT mà được kết chuyển số thuế chưa được khấu trừ của dự </w:t>
      </w:r>
      <w:proofErr w:type="gramStart"/>
      <w:r w:rsidRPr="00D57EAD">
        <w:rPr>
          <w:rFonts w:ascii="Times New Roman" w:eastAsia="Times New Roman" w:hAnsi="Times New Roman" w:cs="Times New Roman"/>
          <w:color w:val="000000" w:themeColor="text1"/>
          <w:sz w:val="26"/>
          <w:szCs w:val="26"/>
        </w:rPr>
        <w:t>án</w:t>
      </w:r>
      <w:proofErr w:type="gramEnd"/>
      <w:r w:rsidRPr="00D57EAD">
        <w:rPr>
          <w:rFonts w:ascii="Times New Roman" w:eastAsia="Times New Roman" w:hAnsi="Times New Roman" w:cs="Times New Roman"/>
          <w:color w:val="000000" w:themeColor="text1"/>
          <w:sz w:val="26"/>
          <w:szCs w:val="26"/>
        </w:rPr>
        <w:t xml:space="preserve"> đầu tư theo quy định của pháp luật về đầu tư sang kỳ tiếp theo đối với các trường hợp:</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Dự án đầu tư của cơ sở kinh doanh không góp đủ số vốn điều lệ như đã đăng ký; kinh doanh ngành, nghề đầu tư kinh doanh có điều kiện khi chưa đủ các điều kiện kinh doanh theo quy định của pháp luật về đầu tư hoặc không bảo đảm duy trì đủ điều kiện kinh doanh trong quá trình hoạt động;</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Dự án đầu tư khai thác tài nguyên, khoáng sản được cấp phép từ ngày 01/7/2016 hoặc dự án đầu tư sản xuất sản phẩm hàng hóa mà tổng trị giá tài nguyên, khoáng sản cộng với chi phí năng lượng chiếm từ 51% giá thành sản phẩm trở lên theo dự án đầu tư.</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(2) Cơ sở kinh doanh trong tháng, quý có hàng hóa, dịch vụ xuất khẩu nếu có số thuế GTGT đầu vào chưa được khấu trừ từ ba trăm triệu đồng trở lên thì được hoàn thuế GTGT theo tháng, quý, trừ trường hợp hàng hóa nhập khẩu để xuất khẩu, hàng hóa xuất khẩu không thực hiện việc xuất khẩu tại địa bàn hoạt động hải quan theo quy định của pháp luật về hải quan.</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Thực hiện hoàn thuế trước, kiểm tra sau đối với người nộp thuế sản xuất hàng hóa xuất khẩu không </w:t>
      </w:r>
      <w:proofErr w:type="gramStart"/>
      <w:r w:rsidRPr="00D57EAD">
        <w:rPr>
          <w:rFonts w:ascii="Times New Roman" w:eastAsia="Times New Roman" w:hAnsi="Times New Roman" w:cs="Times New Roman"/>
          <w:color w:val="000000" w:themeColor="text1"/>
          <w:sz w:val="26"/>
          <w:szCs w:val="26"/>
        </w:rPr>
        <w:t>vi</w:t>
      </w:r>
      <w:proofErr w:type="gramEnd"/>
      <w:r w:rsidRPr="00D57EAD">
        <w:rPr>
          <w:rFonts w:ascii="Times New Roman" w:eastAsia="Times New Roman" w:hAnsi="Times New Roman" w:cs="Times New Roman"/>
          <w:color w:val="000000" w:themeColor="text1"/>
          <w:sz w:val="26"/>
          <w:szCs w:val="26"/>
        </w:rPr>
        <w:t xml:space="preserve"> phạm pháp luật về thuế, hải quan trong thời gian hai năm liên tục; người nộp thuế không thuộc đối tượng rủi ro cao theo quy định của pháp luật về quản lý thuế.</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(3) Cơ sở kinh doanh nộp thuế GTGT theo phương pháp khấu trừ thuế được hoàn thuế GTGT khi chuyển đổi sở hữu, chuyển đổi doanh nghiệp, sáp nhập, hợp nhất, chia, tách, giải thể, phá sản, chấm dứt hoạt động có số thuế GTGT nộp thừa hoặc số thuế GTGT đầu vào chưa được khấu trừ hết.</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(4)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(5) Việc hoàn thuế GTGT đối với các chương trình, dự án sử dụng nguồn vốn hỗ trợ phát triển chính thức (ODA) không hoàn lại hoặc viện trợ không hoàn lại, viện trợ nhân đạo được quy định như sau:</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lastRenderedPageBreak/>
        <w:t>- Chủ chương trình, dự án hoặc nhà thầu chính, tổ chức do phía nhà tài trợ nước ngoài chỉ định việc quản lý chương trình, dự án sử dụng nguồn vốn hỗ trợ phát triển chính thức (ODA) không hoàn lại được hoàn số thuế GTGT đã trả cho hàng hóa, dịch vụ mua tại Việt Nam để phục vụ cho chương trình, dự án;</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GTGT đã trả cho hàng hóa, dịch vụ đó.</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(6) Đối tượng được hưởng quyền ưu đãi miễn trừ ngoại giao theo quy định của pháp luật về ưu đãi miễn trừ ngoại giao mua hàng hóa, dịch vụ tại Việt Nam để sử dụng được hoàn số thuế GTGT đã trả ghi trên hóa đơn GTGT hoặc trên chứng từ thanh toán ghi giá thanh toán đã có thuế GTGT.</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(7) Cơ sở kinh doanh có quyết định hoàn thuế GTGT của cơ quan có thẩm quyền </w:t>
      </w:r>
      <w:proofErr w:type="gramStart"/>
      <w:r w:rsidRPr="00D57EAD">
        <w:rPr>
          <w:rFonts w:ascii="Times New Roman" w:eastAsia="Times New Roman" w:hAnsi="Times New Roman" w:cs="Times New Roman"/>
          <w:color w:val="000000" w:themeColor="text1"/>
          <w:sz w:val="26"/>
          <w:szCs w:val="26"/>
        </w:rPr>
        <w:t>theo</w:t>
      </w:r>
      <w:proofErr w:type="gramEnd"/>
      <w:r w:rsidRPr="00D57EAD">
        <w:rPr>
          <w:rFonts w:ascii="Times New Roman" w:eastAsia="Times New Roman" w:hAnsi="Times New Roman" w:cs="Times New Roman"/>
          <w:color w:val="000000" w:themeColor="text1"/>
          <w:sz w:val="26"/>
          <w:szCs w:val="26"/>
        </w:rPr>
        <w:t xml:space="preserve"> quy định của pháp luật và trường hợp hoàn thuế GTGT theo điều ước quốc tế mà Cộng hòa xã hội chủ nghĩa Việt Nam là thành viên.</w:t>
      </w:r>
    </w:p>
    <w:p w:rsidR="00D57EAD" w:rsidRPr="00D57EAD" w:rsidRDefault="00D57EAD" w:rsidP="00D57EAD">
      <w:pPr>
        <w:shd w:val="clear" w:color="auto" w:fill="FFFFFF"/>
        <w:spacing w:before="300" w:after="150" w:line="240" w:lineRule="auto"/>
        <w:ind w:firstLine="720"/>
        <w:outlineLvl w:val="1"/>
        <w:rPr>
          <w:rFonts w:ascii="Times New Roman" w:eastAsia="Times New Roman" w:hAnsi="Times New Roman" w:cs="Times New Roman"/>
          <w:color w:val="000000" w:themeColor="text1"/>
          <w:sz w:val="26"/>
          <w:szCs w:val="26"/>
        </w:rPr>
      </w:pPr>
      <w:proofErr w:type="gramStart"/>
      <w:r w:rsidRPr="0087192E">
        <w:rPr>
          <w:rFonts w:ascii="Times New Roman" w:eastAsia="Times New Roman" w:hAnsi="Times New Roman" w:cs="Times New Roman"/>
          <w:b/>
          <w:bCs/>
          <w:color w:val="000000" w:themeColor="text1"/>
          <w:sz w:val="26"/>
          <w:szCs w:val="26"/>
        </w:rPr>
        <w:t>2.Quy</w:t>
      </w:r>
      <w:proofErr w:type="gramEnd"/>
      <w:r w:rsidRPr="0087192E">
        <w:rPr>
          <w:rFonts w:ascii="Times New Roman" w:eastAsia="Times New Roman" w:hAnsi="Times New Roman" w:cs="Times New Roman"/>
          <w:b/>
          <w:bCs/>
          <w:color w:val="000000" w:themeColor="text1"/>
          <w:sz w:val="26"/>
          <w:szCs w:val="26"/>
        </w:rPr>
        <w:t xml:space="preserve"> trình hoàn thuế GTGT mới nhất</w:t>
      </w:r>
    </w:p>
    <w:p w:rsidR="00D57EAD" w:rsidRPr="00D57EAD" w:rsidRDefault="00D57EAD" w:rsidP="00D57EAD">
      <w:pPr>
        <w:shd w:val="clear" w:color="auto" w:fill="FFFFFF"/>
        <w:spacing w:after="150" w:line="240" w:lineRule="auto"/>
        <w:ind w:firstLine="720"/>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Căn cứ quy định tại </w:t>
      </w:r>
      <w:hyperlink r:id="rId7" w:tgtFrame="_blank" w:history="1">
        <w:r w:rsidRPr="0087192E">
          <w:rPr>
            <w:rFonts w:ascii="Times New Roman" w:eastAsia="Times New Roman" w:hAnsi="Times New Roman" w:cs="Times New Roman"/>
            <w:color w:val="000000" w:themeColor="text1"/>
            <w:sz w:val="26"/>
            <w:szCs w:val="26"/>
          </w:rPr>
          <w:t>Thông tư 80/2021/TT-BTC</w:t>
        </w:r>
      </w:hyperlink>
      <w:r w:rsidRPr="00D57EAD">
        <w:rPr>
          <w:rFonts w:ascii="Times New Roman" w:eastAsia="Times New Roman" w:hAnsi="Times New Roman" w:cs="Times New Roman"/>
          <w:color w:val="000000" w:themeColor="text1"/>
          <w:sz w:val="26"/>
          <w:szCs w:val="26"/>
        </w:rPr>
        <w:t xml:space="preserve"> thì quy trình hoàn thuế GTGT thực hiện </w:t>
      </w:r>
      <w:proofErr w:type="gramStart"/>
      <w:r w:rsidRPr="00D57EAD">
        <w:rPr>
          <w:rFonts w:ascii="Times New Roman" w:eastAsia="Times New Roman" w:hAnsi="Times New Roman" w:cs="Times New Roman"/>
          <w:color w:val="000000" w:themeColor="text1"/>
          <w:sz w:val="26"/>
          <w:szCs w:val="26"/>
        </w:rPr>
        <w:t>theo</w:t>
      </w:r>
      <w:proofErr w:type="gramEnd"/>
      <w:r w:rsidRPr="00D57EAD">
        <w:rPr>
          <w:rFonts w:ascii="Times New Roman" w:eastAsia="Times New Roman" w:hAnsi="Times New Roman" w:cs="Times New Roman"/>
          <w:color w:val="000000" w:themeColor="text1"/>
          <w:sz w:val="26"/>
          <w:szCs w:val="26"/>
        </w:rPr>
        <w:t xml:space="preserve"> các bước sau đây:</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 Bước 1: Người nộp thuế chuẩn bị bộ hồ sơ đề nghị hoàn thuế GTGT bao gồm Giấy đề nghị hoàn trả khoản </w:t>
      </w:r>
      <w:proofErr w:type="gramStart"/>
      <w:r w:rsidRPr="00D57EAD">
        <w:rPr>
          <w:rFonts w:ascii="Times New Roman" w:eastAsia="Times New Roman" w:hAnsi="Times New Roman" w:cs="Times New Roman"/>
          <w:color w:val="000000" w:themeColor="text1"/>
          <w:sz w:val="26"/>
          <w:szCs w:val="26"/>
        </w:rPr>
        <w:t>thu</w:t>
      </w:r>
      <w:proofErr w:type="gramEnd"/>
      <w:r w:rsidRPr="00D57EAD">
        <w:rPr>
          <w:rFonts w:ascii="Times New Roman" w:eastAsia="Times New Roman" w:hAnsi="Times New Roman" w:cs="Times New Roman"/>
          <w:color w:val="000000" w:themeColor="text1"/>
          <w:sz w:val="26"/>
          <w:szCs w:val="26"/>
        </w:rPr>
        <w:t xml:space="preserve"> ngân sách nhà nước theo mẫu số 01/HT ban hành kèm theo phụ lục I Thông tư 80/2021/TT-BTC và các tài liệu có liên quan theo trường hợp hoàn thuế GTGT.</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 Bước 2: Người nộp thuế bộ hồ sơ đề nghị hoàn thuế GTGT cho cơ quan thuế </w:t>
      </w:r>
      <w:proofErr w:type="gramStart"/>
      <w:r w:rsidRPr="00D57EAD">
        <w:rPr>
          <w:rFonts w:ascii="Times New Roman" w:eastAsia="Times New Roman" w:hAnsi="Times New Roman" w:cs="Times New Roman"/>
          <w:color w:val="000000" w:themeColor="text1"/>
          <w:sz w:val="26"/>
          <w:szCs w:val="26"/>
        </w:rPr>
        <w:t>theo</w:t>
      </w:r>
      <w:proofErr w:type="gramEnd"/>
      <w:r w:rsidRPr="00D57EAD">
        <w:rPr>
          <w:rFonts w:ascii="Times New Roman" w:eastAsia="Times New Roman" w:hAnsi="Times New Roman" w:cs="Times New Roman"/>
          <w:color w:val="000000" w:themeColor="text1"/>
          <w:sz w:val="26"/>
          <w:szCs w:val="26"/>
        </w:rPr>
        <w:t xml:space="preserve"> một trong 2 phương thức điện tử hoặc bản giấy.</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 Bước 3: Cơ quan thuế tiếp nhận hồ sơ và tiến hành phân loại hồ sơ hoàn thuế GTGT </w:t>
      </w:r>
      <w:proofErr w:type="gramStart"/>
      <w:r w:rsidRPr="00D57EAD">
        <w:rPr>
          <w:rFonts w:ascii="Times New Roman" w:eastAsia="Times New Roman" w:hAnsi="Times New Roman" w:cs="Times New Roman"/>
          <w:color w:val="000000" w:themeColor="text1"/>
          <w:sz w:val="26"/>
          <w:szCs w:val="26"/>
        </w:rPr>
        <w:t>theo</w:t>
      </w:r>
      <w:proofErr w:type="gramEnd"/>
      <w:r w:rsidRPr="00D57EAD">
        <w:rPr>
          <w:rFonts w:ascii="Times New Roman" w:eastAsia="Times New Roman" w:hAnsi="Times New Roman" w:cs="Times New Roman"/>
          <w:color w:val="000000" w:themeColor="text1"/>
          <w:sz w:val="26"/>
          <w:szCs w:val="26"/>
        </w:rPr>
        <w:t xml:space="preserve"> quy định.</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xml:space="preserve">- Bước 4: Cơ quan thuế tiến hành giải quyết hồ sơ hoàn thuế GTGT </w:t>
      </w:r>
      <w:proofErr w:type="gramStart"/>
      <w:r w:rsidRPr="00D57EAD">
        <w:rPr>
          <w:rFonts w:ascii="Times New Roman" w:eastAsia="Times New Roman" w:hAnsi="Times New Roman" w:cs="Times New Roman"/>
          <w:color w:val="000000" w:themeColor="text1"/>
          <w:sz w:val="26"/>
          <w:szCs w:val="26"/>
        </w:rPr>
        <w:t>theo</w:t>
      </w:r>
      <w:proofErr w:type="gramEnd"/>
      <w:r w:rsidRPr="00D57EAD">
        <w:rPr>
          <w:rFonts w:ascii="Times New Roman" w:eastAsia="Times New Roman" w:hAnsi="Times New Roman" w:cs="Times New Roman"/>
          <w:color w:val="000000" w:themeColor="text1"/>
          <w:sz w:val="26"/>
          <w:szCs w:val="26"/>
        </w:rPr>
        <w:t xml:space="preserve"> quy định và xem xét dự thảo Quyết định hoàn thuế.</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Bước 5: Cơ quan thuế ban hành Quyết định hoàn thuế hoặc Quyết định hoàn thuế kiêm bù trừ thu ngân sách nhà nước, Quyết định thanh toán cho ngân hàng là đại lý hoàn thuế GTGT thực hiện lập Lệnh hoàn trả khoản thu ngân sách nhà nước hoặc Lệnh hoàn trả kiêm bù trừ khoản thu ngân sách nhà nước theo quy định.</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Bước 5: Cơ quan thuế trả kết quả giải quyết hoàn thuế GTGT cho người nộp thuế.</w:t>
      </w:r>
    </w:p>
    <w:p w:rsidR="00D57EAD" w:rsidRPr="00D57EAD" w:rsidRDefault="00D57EAD" w:rsidP="00D57EAD">
      <w:pPr>
        <w:shd w:val="clear" w:color="auto" w:fill="FFFFFF"/>
        <w:spacing w:before="300" w:after="150" w:line="240" w:lineRule="auto"/>
        <w:ind w:firstLine="720"/>
        <w:outlineLvl w:val="1"/>
        <w:rPr>
          <w:rFonts w:ascii="Times New Roman" w:eastAsia="Times New Roman" w:hAnsi="Times New Roman" w:cs="Times New Roman"/>
          <w:color w:val="000000" w:themeColor="text1"/>
          <w:sz w:val="26"/>
          <w:szCs w:val="26"/>
        </w:rPr>
      </w:pPr>
      <w:r w:rsidRPr="0087192E">
        <w:rPr>
          <w:rFonts w:ascii="Times New Roman" w:eastAsia="Times New Roman" w:hAnsi="Times New Roman" w:cs="Times New Roman"/>
          <w:b/>
          <w:bCs/>
          <w:color w:val="000000" w:themeColor="text1"/>
          <w:sz w:val="26"/>
          <w:szCs w:val="26"/>
        </w:rPr>
        <w:t>3. Trách nhiệm tiếp nhận và giải quyết hồ sơ hoàn thuế GTGT</w:t>
      </w:r>
    </w:p>
    <w:p w:rsidR="00D57EAD" w:rsidRPr="00D57EAD" w:rsidRDefault="00D57EAD" w:rsidP="00D57EAD">
      <w:pPr>
        <w:shd w:val="clear" w:color="auto" w:fill="FFFFFF"/>
        <w:spacing w:after="150" w:line="240" w:lineRule="auto"/>
        <w:ind w:firstLine="720"/>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Căn cứ Điều 27 </w:t>
      </w:r>
      <w:hyperlink r:id="rId8" w:tgtFrame="_blank" w:history="1">
        <w:r w:rsidRPr="0087192E">
          <w:rPr>
            <w:rFonts w:ascii="Times New Roman" w:eastAsia="Times New Roman" w:hAnsi="Times New Roman" w:cs="Times New Roman"/>
            <w:color w:val="000000" w:themeColor="text1"/>
            <w:sz w:val="26"/>
            <w:szCs w:val="26"/>
          </w:rPr>
          <w:t>Thông tư 80/2021/TT-BTC</w:t>
        </w:r>
      </w:hyperlink>
      <w:r w:rsidRPr="00D57EAD">
        <w:rPr>
          <w:rFonts w:ascii="Times New Roman" w:eastAsia="Times New Roman" w:hAnsi="Times New Roman" w:cs="Times New Roman"/>
          <w:color w:val="000000" w:themeColor="text1"/>
          <w:sz w:val="26"/>
          <w:szCs w:val="26"/>
        </w:rPr>
        <w:t> quy định trách nhiệm tiếp nhận và giải quyết hồ sơ hoàn thuế GTGT của Cơ quan thuế như sau:</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lastRenderedPageBreak/>
        <w:t>- Cục Thuế có trách nhiệm tiếp nhận và giải quyết hồ sơ hoàn thuế GTGT đối với người nộp thuế do Cục Thuế quản lý trực tiếp và người nộp thuế do Chi cục Thuế quản lý trực tiếp.</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Riêng các Cục Thuế thành phố Hà Nội, thành phố Hồ Chí Minh, Bình Dương, Đồng Nai, Cục trưởng Cục Thuế có thể phân công cho Chi cục Thuế tiếp nhận hồ sơ hoàn thuế GTGT của người nộp thuế do Chi cục Thuế quản lý trực tiếp và thực hiện giải quyết hồ sơ hoàn thuế của người nộp thuế, bao gồm: phân loại hồ sơ hoàn thuế thuộc diện hoàn thuế trước hoặc thuộc diện kiểm tra trước hoàn thuế; xác định số thuế được hoàn; xác định số tiền thuế nợ, tiền phạt, tiền chậm nộp phải bù trừ với số thuế được hoàn; dự thảo Quyết định hoàn thuế hoặc Quyết định hoàn thuế kiêm bù trừ thu ngân sách nhà nước hoặc Thông báo về việc không được hoàn thuế (nếu có); sau đó Chi cục Thuế chuyển toàn bộ hồ sơ cho Cục Thuế để tiếp tục thực hiện hoàn thuế theo quy định tại Thông tư này.</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Cục Thuế nơi người nộp thuế khai thuế GTGT của dự án đầu tư theo quy định tại điểm a khoản 1 Điều 11 </w:t>
      </w:r>
      <w:hyperlink r:id="rId9" w:tgtFrame="_blank" w:history="1">
        <w:r w:rsidRPr="0087192E">
          <w:rPr>
            <w:rFonts w:ascii="Times New Roman" w:eastAsia="Times New Roman" w:hAnsi="Times New Roman" w:cs="Times New Roman"/>
            <w:color w:val="000000" w:themeColor="text1"/>
            <w:sz w:val="26"/>
            <w:szCs w:val="26"/>
          </w:rPr>
          <w:t>Nghị định 126/2020/NĐ-CP</w:t>
        </w:r>
      </w:hyperlink>
      <w:r w:rsidRPr="00D57EAD">
        <w:rPr>
          <w:rFonts w:ascii="Times New Roman" w:eastAsia="Times New Roman" w:hAnsi="Times New Roman" w:cs="Times New Roman"/>
          <w:color w:val="000000" w:themeColor="text1"/>
          <w:sz w:val="26"/>
          <w:szCs w:val="26"/>
        </w:rPr>
        <w:t> có trách nhiệm tiếp nhận và giải quyết hồ sơ hoàn thuế đối với dự án đầu tư của người nộp thuế.</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Cơ quan thuế quản lý trực tiếp có trách nhiệm tiếp nhận và giải quyết hồ sơ hoàn thuế GTGT đầu vào chưa được khấu trừ hết khi chuyển đổi sở hữu, chuyển đổi doanh nghiệp, sáp nhập, hợp nhất, chia, tách, giải thể, phá sản, chấm dứt hoạt động.</w:t>
      </w:r>
    </w:p>
    <w:p w:rsidR="00D57EAD" w:rsidRPr="00D57EAD" w:rsidRDefault="00D57EAD" w:rsidP="00D57EAD">
      <w:pPr>
        <w:shd w:val="clear" w:color="auto" w:fill="FFFFFF"/>
        <w:spacing w:after="150" w:line="240" w:lineRule="auto"/>
        <w:rPr>
          <w:rFonts w:ascii="Times New Roman" w:eastAsia="Times New Roman" w:hAnsi="Times New Roman" w:cs="Times New Roman"/>
          <w:color w:val="000000" w:themeColor="text1"/>
          <w:sz w:val="26"/>
          <w:szCs w:val="26"/>
        </w:rPr>
      </w:pPr>
      <w:r w:rsidRPr="00D57EAD">
        <w:rPr>
          <w:rFonts w:ascii="Times New Roman" w:eastAsia="Times New Roman" w:hAnsi="Times New Roman" w:cs="Times New Roman"/>
          <w:color w:val="000000" w:themeColor="text1"/>
          <w:sz w:val="26"/>
          <w:szCs w:val="26"/>
        </w:rPr>
        <w:t> </w:t>
      </w:r>
    </w:p>
    <w:p w:rsidR="00A8068E" w:rsidRPr="0087192E" w:rsidRDefault="00A8068E">
      <w:pPr>
        <w:rPr>
          <w:rFonts w:ascii="Times New Roman" w:hAnsi="Times New Roman" w:cs="Times New Roman"/>
          <w:color w:val="000000" w:themeColor="text1"/>
          <w:sz w:val="26"/>
          <w:szCs w:val="26"/>
        </w:rPr>
      </w:pPr>
    </w:p>
    <w:sectPr w:rsidR="00A8068E" w:rsidRPr="0087192E" w:rsidSect="00D57EAD">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E235B"/>
    <w:multiLevelType w:val="multilevel"/>
    <w:tmpl w:val="27E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9037F"/>
    <w:multiLevelType w:val="hybridMultilevel"/>
    <w:tmpl w:val="6ADA862C"/>
    <w:lvl w:ilvl="0" w:tplc="0AA48ACE">
      <w:start w:val="1"/>
      <w:numFmt w:val="decimal"/>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E33B5"/>
    <w:multiLevelType w:val="multilevel"/>
    <w:tmpl w:val="DB1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AD"/>
    <w:rsid w:val="0087192E"/>
    <w:rsid w:val="00A8068E"/>
    <w:rsid w:val="00D5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7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7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7EAD"/>
    <w:rPr>
      <w:rFonts w:ascii="Times New Roman" w:eastAsia="Times New Roman" w:hAnsi="Times New Roman" w:cs="Times New Roman"/>
      <w:b/>
      <w:bCs/>
      <w:sz w:val="36"/>
      <w:szCs w:val="36"/>
    </w:rPr>
  </w:style>
  <w:style w:type="character" w:styleId="Strong">
    <w:name w:val="Strong"/>
    <w:basedOn w:val="DefaultParagraphFont"/>
    <w:uiPriority w:val="22"/>
    <w:qFormat/>
    <w:rsid w:val="00D57EAD"/>
    <w:rPr>
      <w:b/>
      <w:bCs/>
    </w:rPr>
  </w:style>
  <w:style w:type="character" w:styleId="Hyperlink">
    <w:name w:val="Hyperlink"/>
    <w:basedOn w:val="DefaultParagraphFont"/>
    <w:uiPriority w:val="99"/>
    <w:semiHidden/>
    <w:unhideWhenUsed/>
    <w:rsid w:val="00D57EAD"/>
    <w:rPr>
      <w:color w:val="0000FF"/>
      <w:u w:val="single"/>
    </w:rPr>
  </w:style>
  <w:style w:type="character" w:customStyle="1" w:styleId="toctext">
    <w:name w:val="toctext"/>
    <w:basedOn w:val="DefaultParagraphFont"/>
    <w:rsid w:val="00D57EAD"/>
  </w:style>
  <w:style w:type="paragraph" w:styleId="NormalWeb">
    <w:name w:val="Normal (Web)"/>
    <w:basedOn w:val="Normal"/>
    <w:uiPriority w:val="99"/>
    <w:semiHidden/>
    <w:unhideWhenUsed/>
    <w:rsid w:val="00D57E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7EAD"/>
    <w:rPr>
      <w:i/>
      <w:iCs/>
    </w:rPr>
  </w:style>
  <w:style w:type="paragraph" w:styleId="BalloonText">
    <w:name w:val="Balloon Text"/>
    <w:basedOn w:val="Normal"/>
    <w:link w:val="BalloonTextChar"/>
    <w:uiPriority w:val="99"/>
    <w:semiHidden/>
    <w:unhideWhenUsed/>
    <w:rsid w:val="00D5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AD"/>
    <w:rPr>
      <w:rFonts w:ascii="Tahoma" w:hAnsi="Tahoma" w:cs="Tahoma"/>
      <w:sz w:val="16"/>
      <w:szCs w:val="16"/>
    </w:rPr>
  </w:style>
  <w:style w:type="paragraph" w:styleId="ListParagraph">
    <w:name w:val="List Paragraph"/>
    <w:basedOn w:val="Normal"/>
    <w:uiPriority w:val="34"/>
    <w:qFormat/>
    <w:rsid w:val="00D57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7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7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7EAD"/>
    <w:rPr>
      <w:rFonts w:ascii="Times New Roman" w:eastAsia="Times New Roman" w:hAnsi="Times New Roman" w:cs="Times New Roman"/>
      <w:b/>
      <w:bCs/>
      <w:sz w:val="36"/>
      <w:szCs w:val="36"/>
    </w:rPr>
  </w:style>
  <w:style w:type="character" w:styleId="Strong">
    <w:name w:val="Strong"/>
    <w:basedOn w:val="DefaultParagraphFont"/>
    <w:uiPriority w:val="22"/>
    <w:qFormat/>
    <w:rsid w:val="00D57EAD"/>
    <w:rPr>
      <w:b/>
      <w:bCs/>
    </w:rPr>
  </w:style>
  <w:style w:type="character" w:styleId="Hyperlink">
    <w:name w:val="Hyperlink"/>
    <w:basedOn w:val="DefaultParagraphFont"/>
    <w:uiPriority w:val="99"/>
    <w:semiHidden/>
    <w:unhideWhenUsed/>
    <w:rsid w:val="00D57EAD"/>
    <w:rPr>
      <w:color w:val="0000FF"/>
      <w:u w:val="single"/>
    </w:rPr>
  </w:style>
  <w:style w:type="character" w:customStyle="1" w:styleId="toctext">
    <w:name w:val="toctext"/>
    <w:basedOn w:val="DefaultParagraphFont"/>
    <w:rsid w:val="00D57EAD"/>
  </w:style>
  <w:style w:type="paragraph" w:styleId="NormalWeb">
    <w:name w:val="Normal (Web)"/>
    <w:basedOn w:val="Normal"/>
    <w:uiPriority w:val="99"/>
    <w:semiHidden/>
    <w:unhideWhenUsed/>
    <w:rsid w:val="00D57E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7EAD"/>
    <w:rPr>
      <w:i/>
      <w:iCs/>
    </w:rPr>
  </w:style>
  <w:style w:type="paragraph" w:styleId="BalloonText">
    <w:name w:val="Balloon Text"/>
    <w:basedOn w:val="Normal"/>
    <w:link w:val="BalloonTextChar"/>
    <w:uiPriority w:val="99"/>
    <w:semiHidden/>
    <w:unhideWhenUsed/>
    <w:rsid w:val="00D5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AD"/>
    <w:rPr>
      <w:rFonts w:ascii="Tahoma" w:hAnsi="Tahoma" w:cs="Tahoma"/>
      <w:sz w:val="16"/>
      <w:szCs w:val="16"/>
    </w:rPr>
  </w:style>
  <w:style w:type="paragraph" w:styleId="ListParagraph">
    <w:name w:val="List Paragraph"/>
    <w:basedOn w:val="Normal"/>
    <w:uiPriority w:val="34"/>
    <w:qFormat/>
    <w:rsid w:val="00D57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74315">
      <w:bodyDiv w:val="1"/>
      <w:marLeft w:val="0"/>
      <w:marRight w:val="0"/>
      <w:marTop w:val="0"/>
      <w:marBottom w:val="0"/>
      <w:divBdr>
        <w:top w:val="none" w:sz="0" w:space="0" w:color="auto"/>
        <w:left w:val="none" w:sz="0" w:space="0" w:color="auto"/>
        <w:bottom w:val="none" w:sz="0" w:space="0" w:color="auto"/>
        <w:right w:val="none" w:sz="0" w:space="0" w:color="auto"/>
      </w:divBdr>
      <w:divsChild>
        <w:div w:id="1956212946">
          <w:marLeft w:val="0"/>
          <w:marRight w:val="0"/>
          <w:marTop w:val="0"/>
          <w:marBottom w:val="0"/>
          <w:divBdr>
            <w:top w:val="none" w:sz="0" w:space="0" w:color="auto"/>
            <w:left w:val="none" w:sz="0" w:space="0" w:color="auto"/>
            <w:bottom w:val="none" w:sz="0" w:space="0" w:color="auto"/>
            <w:right w:val="none" w:sz="0" w:space="0" w:color="auto"/>
          </w:divBdr>
          <w:divsChild>
            <w:div w:id="1617712067">
              <w:marLeft w:val="0"/>
              <w:marRight w:val="0"/>
              <w:marTop w:val="0"/>
              <w:marBottom w:val="0"/>
              <w:divBdr>
                <w:top w:val="none" w:sz="0" w:space="0" w:color="auto"/>
                <w:left w:val="none" w:sz="0" w:space="0" w:color="auto"/>
                <w:bottom w:val="none" w:sz="0" w:space="0" w:color="auto"/>
                <w:right w:val="none" w:sz="0" w:space="0" w:color="auto"/>
              </w:divBdr>
            </w:div>
          </w:divsChild>
        </w:div>
        <w:div w:id="1606382294">
          <w:marLeft w:val="0"/>
          <w:marRight w:val="0"/>
          <w:marTop w:val="150"/>
          <w:marBottom w:val="150"/>
          <w:divBdr>
            <w:top w:val="none" w:sz="0" w:space="0" w:color="auto"/>
            <w:left w:val="none" w:sz="0" w:space="0" w:color="auto"/>
            <w:bottom w:val="none" w:sz="0" w:space="0" w:color="auto"/>
            <w:right w:val="none" w:sz="0" w:space="0" w:color="auto"/>
          </w:divBdr>
          <w:divsChild>
            <w:div w:id="1495873018">
              <w:marLeft w:val="0"/>
              <w:marRight w:val="0"/>
              <w:marTop w:val="0"/>
              <w:marBottom w:val="180"/>
              <w:divBdr>
                <w:top w:val="none" w:sz="0" w:space="0" w:color="auto"/>
                <w:left w:val="none" w:sz="0" w:space="0" w:color="auto"/>
                <w:bottom w:val="none" w:sz="0" w:space="0" w:color="auto"/>
                <w:right w:val="none" w:sz="0" w:space="0" w:color="auto"/>
              </w:divBdr>
              <w:divsChild>
                <w:div w:id="1688559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549689">
          <w:marLeft w:val="0"/>
          <w:marRight w:val="0"/>
          <w:marTop w:val="0"/>
          <w:marBottom w:val="0"/>
          <w:divBdr>
            <w:top w:val="none" w:sz="0" w:space="0" w:color="auto"/>
            <w:left w:val="none" w:sz="0" w:space="0" w:color="auto"/>
            <w:bottom w:val="none" w:sz="0" w:space="0" w:color="auto"/>
            <w:right w:val="none" w:sz="0" w:space="0" w:color="auto"/>
          </w:divBdr>
          <w:divsChild>
            <w:div w:id="20159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80-2021-TT-BTC-huong-dan-Luat-Quan-ly-thue-Nghi-dinh-126-2020-ND-CP-466716.aspx?anchor=dieu_27" TargetMode="External"/><Relationship Id="rId3" Type="http://schemas.microsoft.com/office/2007/relationships/stylesWithEffects" Target="stylesWithEffects.xml"/><Relationship Id="rId7" Type="http://schemas.openxmlformats.org/officeDocument/2006/relationships/hyperlink" Target="https://thuvienphapluat.vn/van-ban/Thue-Phi-Le-Phi/Thong-tu-80-2021-TT-BTC-huong-dan-Luat-Quan-ly-thue-Nghi-dinh-126-2020-ND-CP-46671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Luat-thue-gia-tri-gia-tang-2008-13-2008-QH12-66934.aspx?anchor=dieu_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hue-Phi-Le-Phi/Nghi-dinh-126-2020-ND-CP-huong-dan-Luat-Quan-ly-thue-455733.aspx?anchor=dieu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2024-10-14T04:08:00Z</dcterms:created>
  <dcterms:modified xsi:type="dcterms:W3CDTF">2024-10-14T04:11:00Z</dcterms:modified>
</cp:coreProperties>
</file>