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2B5" w:rsidRDefault="00DD42B5" w:rsidP="00DD42B5">
      <w:pPr>
        <w:shd w:val="clear" w:color="auto" w:fill="FFFFFF"/>
        <w:spacing w:before="100" w:beforeAutospacing="1" w:after="100" w:afterAutospacing="1"/>
        <w:jc w:val="center"/>
        <w:outlineLvl w:val="0"/>
        <w:rPr>
          <w:rFonts w:ascii="Times New Roman" w:eastAsia="Times New Roman" w:hAnsi="Times New Roman" w:cs="Times New Roman"/>
          <w:b/>
          <w:bCs/>
          <w:color w:val="333333"/>
          <w:kern w:val="36"/>
          <w:sz w:val="26"/>
          <w:szCs w:val="26"/>
          <w:lang w:val="vi-VN"/>
          <w14:ligatures w14:val="none"/>
        </w:rPr>
      </w:pPr>
      <w:r w:rsidRPr="00DD42B5">
        <w:rPr>
          <w:rFonts w:ascii="Times New Roman" w:eastAsia="Times New Roman" w:hAnsi="Times New Roman" w:cs="Times New Roman"/>
          <w:b/>
          <w:bCs/>
          <w:color w:val="333333"/>
          <w:kern w:val="36"/>
          <w:sz w:val="26"/>
          <w:szCs w:val="26"/>
          <w14:ligatures w14:val="none"/>
        </w:rPr>
        <w:t>TÌM</w:t>
      </w:r>
      <w:r w:rsidRPr="00DD42B5">
        <w:rPr>
          <w:rFonts w:ascii="Times New Roman" w:eastAsia="Times New Roman" w:hAnsi="Times New Roman" w:cs="Times New Roman"/>
          <w:b/>
          <w:bCs/>
          <w:color w:val="333333"/>
          <w:kern w:val="36"/>
          <w:sz w:val="26"/>
          <w:szCs w:val="26"/>
          <w:lang w:val="vi-VN"/>
          <w14:ligatures w14:val="none"/>
        </w:rPr>
        <w:t xml:space="preserve"> HIỂU VỀ 5 CHÍNH SÁCH MỚI VỀ THUẾ </w:t>
      </w:r>
    </w:p>
    <w:p w:rsidR="00DD42B5" w:rsidRPr="00DD42B5" w:rsidRDefault="00DD42B5" w:rsidP="00DD42B5">
      <w:pPr>
        <w:shd w:val="clear" w:color="auto" w:fill="FFFFFF"/>
        <w:spacing w:before="100" w:beforeAutospacing="1" w:after="100" w:afterAutospacing="1"/>
        <w:jc w:val="center"/>
        <w:outlineLvl w:val="0"/>
        <w:rPr>
          <w:rFonts w:ascii="Times New Roman" w:eastAsia="Times New Roman" w:hAnsi="Times New Roman" w:cs="Times New Roman"/>
          <w:b/>
          <w:bCs/>
          <w:color w:val="333333"/>
          <w:kern w:val="36"/>
          <w:sz w:val="26"/>
          <w:szCs w:val="26"/>
          <w14:ligatures w14:val="none"/>
        </w:rPr>
      </w:pPr>
      <w:r w:rsidRPr="00DD42B5">
        <w:rPr>
          <w:rFonts w:ascii="Times New Roman" w:eastAsia="Times New Roman" w:hAnsi="Times New Roman" w:cs="Times New Roman"/>
          <w:b/>
          <w:bCs/>
          <w:color w:val="333333"/>
          <w:kern w:val="36"/>
          <w:sz w:val="26"/>
          <w:szCs w:val="26"/>
          <w:lang w:val="vi-VN"/>
          <w14:ligatures w14:val="none"/>
        </w:rPr>
        <w:t>CÓ HIỆU LỰC TỪ THÁNG 1/2025</w:t>
      </w:r>
    </w:p>
    <w:p w:rsid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A6A6A6"/>
          <w:kern w:val="0"/>
          <w:sz w:val="26"/>
          <w:szCs w:val="26"/>
          <w:lang w:val="vi-VN"/>
          <w14:ligatures w14:val="none"/>
        </w:rPr>
        <w:t xml:space="preserve">  </w:t>
      </w:r>
      <w:r w:rsidRPr="00DD42B5">
        <w:rPr>
          <w:rFonts w:ascii="Times New Roman" w:eastAsia="Times New Roman" w:hAnsi="Times New Roman" w:cs="Times New Roman"/>
          <w:color w:val="333333"/>
          <w:kern w:val="0"/>
          <w:sz w:val="26"/>
          <w:szCs w:val="26"/>
          <w:lang w:val="vi-VN"/>
          <w14:ligatures w14:val="none"/>
        </w:rPr>
        <w:t>Năm 2025 đánh dấu một bước ngoặt  mới trong hệ thống thuế khi một loạt các chính sách quan trọng được điều chỉnh và áp dụng: Tiếp tục giảm 2%</w:t>
      </w:r>
      <w:r>
        <w:rPr>
          <w:rFonts w:ascii="Times New Roman" w:eastAsia="Times New Roman" w:hAnsi="Times New Roman" w:cs="Times New Roman"/>
          <w:color w:val="333333"/>
          <w:kern w:val="0"/>
          <w:sz w:val="26"/>
          <w:szCs w:val="26"/>
          <w:lang w:val="vi-VN"/>
          <w14:ligatures w14:val="none"/>
        </w:rPr>
        <w:t xml:space="preserve"> thuế GTGT</w:t>
      </w:r>
      <w:r w:rsidRPr="00DD42B5">
        <w:rPr>
          <w:rFonts w:ascii="Times New Roman" w:eastAsia="Times New Roman" w:hAnsi="Times New Roman" w:cs="Times New Roman"/>
          <w:color w:val="333333"/>
          <w:kern w:val="0"/>
          <w:sz w:val="26"/>
          <w:szCs w:val="26"/>
          <w:lang w:val="vi-VN"/>
          <w14:ligatures w14:val="none"/>
        </w:rPr>
        <w:t>, sửa đổi Luật Kế toán, Luật Quản lý thuế, sửa đổi quy định về khai bổ sung hồ sơ khai thuế,...</w:t>
      </w:r>
    </w:p>
    <w:p w:rsidR="00DD42B5" w:rsidRPr="00DD42B5" w:rsidRDefault="00DD42B5" w:rsidP="00DD42B5">
      <w:pPr>
        <w:shd w:val="clear" w:color="auto" w:fill="FFFFFF"/>
        <w:spacing w:line="420" w:lineRule="atLeast"/>
        <w:jc w:val="both"/>
        <w:rPr>
          <w:rFonts w:ascii="Times New Roman" w:eastAsia="Times New Roman" w:hAnsi="Times New Roman" w:cs="Times New Roman"/>
          <w:b/>
          <w:bCs/>
          <w:color w:val="333333"/>
          <w:kern w:val="0"/>
          <w:sz w:val="26"/>
          <w:szCs w:val="26"/>
          <w14:ligatures w14:val="none"/>
        </w:rPr>
      </w:pPr>
      <w:r w:rsidRPr="00DD42B5">
        <w:rPr>
          <w:rFonts w:ascii="Times New Roman" w:eastAsia="Times New Roman" w:hAnsi="Times New Roman" w:cs="Times New Roman"/>
          <w:b/>
          <w:bCs/>
          <w:color w:val="333333"/>
          <w:kern w:val="0"/>
          <w:sz w:val="26"/>
          <w:szCs w:val="26"/>
          <w:lang w:val="vi-VN"/>
          <w14:ligatures w14:val="none"/>
        </w:rPr>
        <w:t>1</w:t>
      </w:r>
      <w:r w:rsidRPr="00DD42B5">
        <w:rPr>
          <w:rFonts w:ascii="Times New Roman" w:eastAsia="Times New Roman" w:hAnsi="Times New Roman" w:cs="Times New Roman"/>
          <w:b/>
          <w:bCs/>
          <w:color w:val="333333"/>
          <w:kern w:val="0"/>
          <w:sz w:val="26"/>
          <w:szCs w:val="26"/>
          <w:lang w:val="vi-VN"/>
          <w14:ligatures w14:val="none"/>
        </w:rPr>
        <w:t>. Chính thức tiếp tục giảm 2% thuế GTGT từ 01/01/2025</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14:ligatures w14:val="none"/>
        </w:rPr>
        <w:t> </w:t>
      </w:r>
      <w:r>
        <w:rPr>
          <w:rFonts w:ascii="Times New Roman" w:eastAsia="Times New Roman" w:hAnsi="Times New Roman" w:cs="Times New Roman"/>
          <w:color w:val="333333"/>
          <w:kern w:val="0"/>
          <w:sz w:val="26"/>
          <w:szCs w:val="26"/>
          <w:lang w:val="vi-VN"/>
          <w14:ligatures w14:val="none"/>
        </w:rPr>
        <w:t xml:space="preserve">  </w:t>
      </w:r>
      <w:r w:rsidRPr="00DD42B5">
        <w:rPr>
          <w:rFonts w:ascii="Times New Roman" w:eastAsia="Times New Roman" w:hAnsi="Times New Roman" w:cs="Times New Roman"/>
          <w:color w:val="333333"/>
          <w:kern w:val="0"/>
          <w:sz w:val="26"/>
          <w:szCs w:val="26"/>
          <w:lang w:val="vi-VN"/>
          <w14:ligatures w14:val="none"/>
        </w:rPr>
        <w:t>Ngày 31/12/2024, Chính phủ ban hành Nghị định 180/2024/NĐ-CP quy định chính sách giảm thuế giá trị gia tăng theo Nghị quyết 174/2024/QH15.</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14:ligatures w14:val="none"/>
        </w:rPr>
        <w:t> </w:t>
      </w:r>
      <w:r w:rsidRPr="00DD42B5">
        <w:rPr>
          <w:rFonts w:ascii="Times New Roman" w:eastAsia="Times New Roman" w:hAnsi="Times New Roman" w:cs="Times New Roman"/>
          <w:color w:val="333333"/>
          <w:kern w:val="0"/>
          <w:sz w:val="26"/>
          <w:szCs w:val="26"/>
          <w:lang w:val="vi-VN"/>
          <w14:ligatures w14:val="none"/>
        </w:rPr>
        <w:t>Cụ thể, theo Khoản 2, Điều 1, Nghị định 180/2024/NĐ-CP/NĐ-CP thì mức giảm thuế GTGT từ ngày 01/01/2025 đến ngày 30/06/2025 như sau:</w:t>
      </w:r>
    </w:p>
    <w:p w:rsidR="00DD42B5" w:rsidRPr="00DD42B5" w:rsidRDefault="00DD42B5" w:rsidP="00DD42B5">
      <w:pPr>
        <w:numPr>
          <w:ilvl w:val="0"/>
          <w:numId w:val="1"/>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Cơ sở kinh doanh tính thuế GTGT theo phương pháp khấu trừ: Áp dụng mức thuế suất GTGT 8% đối với hàng hóa, dịch vụ đang áp dụng mức thuế suất 10%.</w:t>
      </w:r>
    </w:p>
    <w:p w:rsidR="00DD42B5" w:rsidRPr="00DD42B5" w:rsidRDefault="00DD42B5" w:rsidP="00DD42B5">
      <w:pPr>
        <w:numPr>
          <w:ilvl w:val="0"/>
          <w:numId w:val="2"/>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Cơ sở kinh doanh (gồm cả hộ &amp; cá nhân kinh doanh) đang áp dụng phương pháp tính thuế GTGT theo tỷ lệ phần trăm trên doanh thu được giảm 20% mức tỷ lệ phần trăm để tính thuế GTGT khi thực hiện xuất hóa đơn đối với hàng hóa, dịch vụ được giảm thuế GTGT theo quy định tại Nghị định này.</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Theo Nghị định Nghị định 180/2024/NĐ-C</w:t>
      </w:r>
      <w:r w:rsidRPr="00DD42B5">
        <w:rPr>
          <w:rFonts w:ascii="Times New Roman" w:eastAsia="Times New Roman" w:hAnsi="Times New Roman" w:cs="Times New Roman"/>
          <w:color w:val="333333"/>
          <w:kern w:val="0"/>
          <w:sz w:val="26"/>
          <w:szCs w:val="26"/>
          <w:lang w:val="vi-VN"/>
          <w14:ligatures w14:val="none"/>
        </w:rPr>
        <w:t>p</w:t>
      </w:r>
      <w:r>
        <w:rPr>
          <w:rFonts w:ascii="Times New Roman" w:eastAsia="Times New Roman" w:hAnsi="Times New Roman" w:cs="Times New Roman"/>
          <w:color w:val="333333"/>
          <w:kern w:val="0"/>
          <w:sz w:val="26"/>
          <w:szCs w:val="26"/>
          <w:lang w:val="vi-VN"/>
          <w14:ligatures w14:val="none"/>
        </w:rPr>
        <w:t xml:space="preserve">quy định giảm </w:t>
      </w:r>
      <w:r>
        <w:rPr>
          <w:rFonts w:ascii="Times New Roman" w:eastAsia="Times New Roman" w:hAnsi="Times New Roman" w:cs="Times New Roman"/>
          <w:color w:val="333333"/>
          <w:kern w:val="0"/>
          <w:sz w:val="26"/>
          <w:szCs w:val="26"/>
          <w:lang w:val="vi-VN"/>
          <w14:ligatures w14:val="none"/>
        </w:rPr>
        <w:t>thuế GTGT</w:t>
      </w:r>
      <w:r w:rsidRPr="00DD42B5">
        <w:rPr>
          <w:rFonts w:ascii="Times New Roman" w:eastAsia="Times New Roman" w:hAnsi="Times New Roman" w:cs="Times New Roman"/>
          <w:color w:val="333333"/>
          <w:kern w:val="0"/>
          <w:sz w:val="26"/>
          <w:szCs w:val="26"/>
          <w:lang w:val="vi-VN"/>
          <w14:ligatures w14:val="none"/>
        </w:rPr>
        <w:t> 2% năm 2025 sẽ tiếp tục thực hiện giảm thuế đối với những hàng hóa, dịch vụ đang áp dụng mức thuế suất 10%, trừ những nhóm hàng hóa, dịch vụ sau:</w:t>
      </w:r>
    </w:p>
    <w:p w:rsidR="00DD42B5" w:rsidRPr="00DD42B5" w:rsidRDefault="00DD42B5" w:rsidP="00DD42B5">
      <w:pPr>
        <w:numPr>
          <w:ilvl w:val="0"/>
          <w:numId w:val="3"/>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Hoạt động viễn thông, tài chính ngân hàng, bảo hiểm, chứng khoán, kinh doanh bất động sản, kim loại và các sản phẩm từ kim loại đúc sẵn, sản phẩm khai khoáng (trừ khai thác than), than cốc, dầu mỏ tinh chế và sản phẩm hóa chất, chi tiết tại Phụ lục I ban hành kèm theo Nghị định 72/2024/NĐ-CP.</w:t>
      </w:r>
    </w:p>
    <w:p w:rsidR="00DD42B5" w:rsidRPr="00DD42B5" w:rsidRDefault="00DD42B5" w:rsidP="00DD42B5">
      <w:pPr>
        <w:numPr>
          <w:ilvl w:val="0"/>
          <w:numId w:val="4"/>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Sản phẩm hàng hóa và dịch vụ chịu thuế tiêu thụ đặc biệt, chi tiết tại Phụ lục II ban hành kèm theo Nghị định 72/2024/NĐ-CP.</w:t>
      </w:r>
    </w:p>
    <w:p w:rsidR="00DD42B5" w:rsidRPr="00DD42B5" w:rsidRDefault="00DD42B5" w:rsidP="00DD42B5">
      <w:pPr>
        <w:numPr>
          <w:ilvl w:val="0"/>
          <w:numId w:val="5"/>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Công nghệ thông tin theo pháp luật về công nghệ thông tin, chi tiết tại Phụ lục III ban hành kèm theo Nghị định.</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Lưu ý: Việc áp dụng quy định giảm thuế phải đảm bảo thống nhất tại tất cả các khâu từ Nhập khẩu, gia công, sản xuất, kinh doanh thương mại:</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14:ligatures w14:val="none"/>
        </w:rPr>
        <w:t> </w:t>
      </w:r>
    </w:p>
    <w:p w:rsidR="00DD42B5" w:rsidRPr="00DD42B5" w:rsidRDefault="00DD42B5" w:rsidP="00DD42B5">
      <w:pPr>
        <w:numPr>
          <w:ilvl w:val="0"/>
          <w:numId w:val="6"/>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lastRenderedPageBreak/>
        <w:t>Đối với mặt hàng khai thác than bán ra, gồm cả khai thác than sau đó sàng tuyển, phân loại theo quy trình khép kín: Thuộc đối tượng giảm thuế GTGT.</w:t>
      </w:r>
    </w:p>
    <w:p w:rsidR="00DD42B5" w:rsidRPr="00DD42B5" w:rsidRDefault="00DD42B5" w:rsidP="00DD42B5">
      <w:pPr>
        <w:numPr>
          <w:ilvl w:val="0"/>
          <w:numId w:val="7"/>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Mặt hàng than thuộc Phụ lục I kèm theo tại các khâu khác ngoài khâu khai thác bán ra không thuộc đối tượng giảm thuế GTGT.</w:t>
      </w:r>
    </w:p>
    <w:p w:rsidR="00DD42B5" w:rsidRPr="00DD42B5" w:rsidRDefault="00DD42B5" w:rsidP="00DD42B5">
      <w:pPr>
        <w:numPr>
          <w:ilvl w:val="0"/>
          <w:numId w:val="8"/>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Các đối tượng doanh nghiệp là tổng công ty, tập đoàn kinh tế thực hiện quy trình khép kín mới bán ra cũng thuộc đối tượng giảm thuế GTGT đối với mặt hàng khai thác than bán ra.</w:t>
      </w:r>
    </w:p>
    <w:p w:rsidR="00DD42B5" w:rsidRPr="00DD42B5" w:rsidRDefault="00DD42B5" w:rsidP="00DD42B5">
      <w:pPr>
        <w:numPr>
          <w:ilvl w:val="0"/>
          <w:numId w:val="9"/>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Các hàng hóa, dịch vụ nêu tại các Phụ lục I, II, III kèm theo thuộc đối tượng không chịu thuế GTGT hoặc chịu 5% thuế GTGT theo Luật thuế GTGT sẽ không thuộc đối tượng được giảm thuế GTGT.</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Như vậy, từ ngày 01/01/2025 đến hết ngày 30/06/2025, các nhóm hàng hóa, dịch vụ đang áp dụng mức thuế suất 10% sẽ được giảm 2% thuế suất GTGT, trừ một số loại hàng hóa, dịch vụ nêu trên.</w:t>
      </w:r>
      <w:r w:rsidRPr="00DD42B5">
        <w:rPr>
          <w:rFonts w:ascii="Times New Roman" w:eastAsia="Times New Roman" w:hAnsi="Times New Roman" w:cs="Times New Roman"/>
          <w:color w:val="333333"/>
          <w:kern w:val="0"/>
          <w:sz w:val="26"/>
          <w:szCs w:val="26"/>
          <w14:ligatures w14:val="none"/>
        </w:rPr>
        <w:t> </w:t>
      </w:r>
    </w:p>
    <w:p w:rsidR="00DD42B5" w:rsidRDefault="00DD42B5" w:rsidP="00DD42B5">
      <w:pPr>
        <w:shd w:val="clear" w:color="auto" w:fill="FFFFFF"/>
        <w:spacing w:beforeAutospacing="1" w:afterAutospacing="1"/>
        <w:outlineLvl w:val="1"/>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b/>
          <w:bCs/>
          <w:color w:val="333333"/>
          <w:kern w:val="0"/>
          <w:sz w:val="26"/>
          <w:szCs w:val="26"/>
          <w:lang w:val="vi-VN"/>
          <w14:ligatures w14:val="none"/>
        </w:rPr>
        <w:t>2. Sửa đổi Luật Kế toán, Luật Quản lý thuế</w:t>
      </w:r>
      <w:r w:rsidRPr="00DD42B5">
        <w:rPr>
          <w:rFonts w:ascii="Times New Roman" w:eastAsia="Times New Roman" w:hAnsi="Times New Roman" w:cs="Times New Roman"/>
          <w:color w:val="333333"/>
          <w:kern w:val="0"/>
          <w:sz w:val="26"/>
          <w:szCs w:val="26"/>
          <w14:ligatures w14:val="none"/>
        </w:rPr>
        <w:t> </w:t>
      </w:r>
    </w:p>
    <w:p w:rsidR="00DD42B5" w:rsidRPr="00DD42B5" w:rsidRDefault="00DD42B5" w:rsidP="00DD42B5">
      <w:pPr>
        <w:shd w:val="clear" w:color="auto" w:fill="FFFFFF"/>
        <w:spacing w:beforeAutospacing="1" w:afterAutospacing="1"/>
        <w:outlineLvl w:val="1"/>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Luật số 56/2024/QH15 sửa đổi 9 Luật, trong đó có Luật Kế toán, Luật Quản lý thuế, trong đó có một số nội dung đáng chú ý như sau:</w:t>
      </w:r>
    </w:p>
    <w:p w:rsidR="00DD42B5" w:rsidRPr="00DD42B5" w:rsidRDefault="00DD42B5" w:rsidP="00DD42B5">
      <w:pPr>
        <w:numPr>
          <w:ilvl w:val="0"/>
          <w:numId w:val="10"/>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Không bắt buộc ghi tên, địa chỉ của cơ quan, tổ chức, đơn vị hoặc cá nhân nhận chứng từ kế toán trên chứng từ kế toán (do bãi bỏ Điểm d, Khoản 1, Điều 16, Luật Kế toán năm 2015.</w:t>
      </w:r>
    </w:p>
    <w:p w:rsidR="00DD42B5" w:rsidRPr="00DD42B5" w:rsidRDefault="00DD42B5" w:rsidP="00DD42B5">
      <w:pPr>
        <w:numPr>
          <w:ilvl w:val="0"/>
          <w:numId w:val="11"/>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Không được khai bổ sung hồ sơ khai thuế khi có quyết định thanh tra, kiểm tra thuế: Theo Khoản 6, Điều 6, Luật số 56/2024/QH15 sửa đổi Khoản 1, Điều 47, Luật Quản lý thuế.</w:t>
      </w:r>
    </w:p>
    <w:p w:rsidR="00DD42B5" w:rsidRPr="00DD42B5" w:rsidRDefault="00DD42B5" w:rsidP="00DD42B5">
      <w:pPr>
        <w:numPr>
          <w:ilvl w:val="0"/>
          <w:numId w:val="12"/>
        </w:num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Điều chỉnh cách xác định thời gian tính tiền chậm nộp tiền thuế: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14:ligatures w14:val="none"/>
        </w:rPr>
        <w:t> </w:t>
      </w:r>
    </w:p>
    <w:p w:rsidR="00DD42B5" w:rsidRPr="00DD42B5" w:rsidRDefault="00DD42B5" w:rsidP="00DD42B5">
      <w:pPr>
        <w:numPr>
          <w:ilvl w:val="0"/>
          <w:numId w:val="13"/>
        </w:numPr>
        <w:shd w:val="clear" w:color="auto" w:fill="FFFFFF"/>
        <w:spacing w:line="420" w:lineRule="atLeast"/>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lastRenderedPageBreak/>
        <w:t>Điều chỉnh quy định về kỳ kế toán: Cho phép gộp kỳ kế toán nếu kỳ đầu tiên hoặc cuối cùng không quá 03 kỳ kế toán liên tiếp.</w:t>
      </w:r>
      <w:r w:rsidRPr="00DD42B5">
        <w:rPr>
          <w:rFonts w:ascii="Times New Roman" w:eastAsia="Times New Roman" w:hAnsi="Times New Roman" w:cs="Times New Roman"/>
          <w:color w:val="333333"/>
          <w:kern w:val="0"/>
          <w:sz w:val="26"/>
          <w:szCs w:val="26"/>
          <w14:ligatures w14:val="none"/>
        </w:rPr>
        <w:t> </w:t>
      </w:r>
    </w:p>
    <w:p w:rsidR="00DD42B5" w:rsidRDefault="00DD42B5" w:rsidP="00DD42B5">
      <w:pPr>
        <w:shd w:val="clear" w:color="auto" w:fill="FFFFFF"/>
        <w:spacing w:beforeAutospacing="1" w:afterAutospacing="1"/>
        <w:outlineLvl w:val="1"/>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b/>
          <w:bCs/>
          <w:color w:val="333333"/>
          <w:kern w:val="0"/>
          <w:sz w:val="26"/>
          <w:szCs w:val="26"/>
          <w:lang w:val="vi-VN"/>
          <w14:ligatures w14:val="none"/>
        </w:rPr>
        <w:t>3. Ngừng miễn thuế cho hàng hóa nhập khẩu giá trị nhỏ gửi qua chuyển phát nhanh</w:t>
      </w:r>
    </w:p>
    <w:p w:rsidR="00DD42B5" w:rsidRDefault="00DD42B5" w:rsidP="00DD42B5">
      <w:pPr>
        <w:shd w:val="clear" w:color="auto" w:fill="FFFFFF"/>
        <w:spacing w:beforeAutospacing="1" w:afterAutospacing="1"/>
        <w:outlineLvl w:val="1"/>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Theo Mục 8, Nghị quyết 174/2014/QH15, Quốc hội đề cập đến yêu cầu chấm dứt hiệu lực của quy định miễn thuế GTGT đối với các sàn thương mại điện tử nước ngoài bán hàng hóa vào Việt Nam.</w:t>
      </w:r>
    </w:p>
    <w:p w:rsidR="00DD42B5" w:rsidRPr="00DD42B5" w:rsidRDefault="00DD42B5" w:rsidP="00DD42B5">
      <w:pPr>
        <w:shd w:val="clear" w:color="auto" w:fill="FFFFFF"/>
        <w:spacing w:beforeAutospacing="1" w:afterAutospacing="1"/>
        <w:outlineLvl w:val="1"/>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Cụ thể, tại Điều 1, Quyết định 78/2010/QĐ-TTG:</w:t>
      </w:r>
    </w:p>
    <w:p w:rsidR="00DD42B5" w:rsidRPr="00DD42B5" w:rsidRDefault="00DD42B5" w:rsidP="00DD42B5">
      <w:pPr>
        <w:numPr>
          <w:ilvl w:val="0"/>
          <w:numId w:val="14"/>
        </w:numPr>
        <w:shd w:val="clear" w:color="auto" w:fill="FFFFFF"/>
        <w:spacing w:line="420" w:lineRule="atLeast"/>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Hàng hóa nhập khẩu gửi qua dịch vụ chuyển phát nhanh tị giá từ 1 triệu đồng trở xuống được miễn thuế nhập khẩu và thuế GTGT.</w:t>
      </w:r>
    </w:p>
    <w:p w:rsidR="00DD42B5" w:rsidRPr="00DD42B5" w:rsidRDefault="00DD42B5" w:rsidP="00DD42B5">
      <w:pPr>
        <w:numPr>
          <w:ilvl w:val="0"/>
          <w:numId w:val="15"/>
        </w:numPr>
        <w:shd w:val="clear" w:color="auto" w:fill="FFFFFF"/>
        <w:spacing w:line="420" w:lineRule="atLeast"/>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Hàng hóa nhập khẩu gửi qua dịch vụ chuyển phát nhanh trị giá 1 triệu đồng trở lên phải nộp thuế nhập khẩu, thuế GTGT theo quy định của pháp luật.</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Như vậy, từ ngày 14/01/2025 - ngày Nghị quyết 174/2024/Qh15 có hiệu lực thì hàng hóa nhập khẩu giá trị 1 triệu đồng trở xuống gửi qua dịch vụ chuyển phát nhanh sẽ không được miễn thuế nhập khẩu và thuế GTGT.</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14:ligatures w14:val="none"/>
        </w:rPr>
        <w:t> </w:t>
      </w:r>
      <w:r w:rsidRPr="00DD42B5">
        <w:rPr>
          <w:rFonts w:ascii="Times New Roman" w:eastAsia="Times New Roman" w:hAnsi="Times New Roman" w:cs="Times New Roman"/>
          <w:b/>
          <w:bCs/>
          <w:color w:val="333333"/>
          <w:kern w:val="0"/>
          <w:sz w:val="26"/>
          <w:szCs w:val="26"/>
          <w:lang w:val="vi-VN"/>
          <w14:ligatures w14:val="none"/>
        </w:rPr>
        <w:t>4. 303 DN lớn do Cục thuế DN lớn trực tiếp quản lý thuế</w:t>
      </w:r>
      <w:r w:rsidRPr="00DD42B5">
        <w:rPr>
          <w:rFonts w:ascii="Times New Roman" w:eastAsia="Times New Roman" w:hAnsi="Times New Roman" w:cs="Times New Roman"/>
          <w:color w:val="333333"/>
          <w:kern w:val="0"/>
          <w:sz w:val="26"/>
          <w:szCs w:val="26"/>
          <w14:ligatures w14:val="none"/>
        </w:rPr>
        <w:t> </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Ngày 27/11/2024, Bộ trưởng Bộ Tài chính ban hành Quyết định số 2838/QĐ-BTC về Danh sách 303 doanh nghiệp lớn do Cục thuế doanh nghiệp lớn được phân công trực tiếp quản lý thuế áp dụng từ ngày 1/1/2025.</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Theo đó, Tổng cục Thuế định kỳ 2 năm thực hiện rà soát, đánh giá hiệu quả công tác quản lý thuế đối với các doanh nghiệp lớn để báo cáo Bộ Tài chính bổ sung, thay thế doanh nghiệp lớn thuộc danh sách phân công Cục thuế doanh nghiệp lớn trực tiếp thực hiện quản lý thuế.</w:t>
      </w:r>
    </w:p>
    <w:p w:rsidR="00DD42B5" w:rsidRPr="00DD42B5" w:rsidRDefault="00DD42B5" w:rsidP="00DD42B5">
      <w:pPr>
        <w:shd w:val="clear" w:color="auto" w:fill="FFFFFF"/>
        <w:spacing w:line="420" w:lineRule="atLeast"/>
        <w:jc w:val="both"/>
        <w:rPr>
          <w:rFonts w:ascii="Times New Roman" w:eastAsia="Times New Roman" w:hAnsi="Times New Roman" w:cs="Times New Roman"/>
          <w:color w:val="333333"/>
          <w:kern w:val="0"/>
          <w:sz w:val="26"/>
          <w:szCs w:val="26"/>
          <w14:ligatures w14:val="none"/>
        </w:rPr>
      </w:pPr>
      <w:r w:rsidRPr="00DD42B5">
        <w:rPr>
          <w:rFonts w:ascii="Times New Roman" w:eastAsia="Times New Roman" w:hAnsi="Times New Roman" w:cs="Times New Roman"/>
          <w:color w:val="333333"/>
          <w:kern w:val="0"/>
          <w:sz w:val="26"/>
          <w:szCs w:val="26"/>
          <w:lang w:val="vi-VN"/>
          <w14:ligatures w14:val="none"/>
        </w:rPr>
        <w:t>Trên đây là 5 Chính sách mới về thuế có hiệu lực tháng 01/2025. Năm 2025 đánh dấu bước ngoặt quan trọng với nhiều chính sách đáng chú ý như tiếp tục giảm thuế GTGT 6 tháng đầu năm, sửa đổi Luật Kế toán, Luật Quản lý thuế,... Doanh nghiệp cần lưu ý cập nhật để áp dụng đúng thời hạn quy định theo các quy định hiện hành.</w:t>
      </w:r>
    </w:p>
    <w:p w:rsidR="00DD42B5" w:rsidRDefault="00DD42B5">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DD42B5" w:rsidRPr="00DD42B5" w:rsidRDefault="00DD42B5">
      <w:pPr>
        <w:rPr>
          <w:rFonts w:ascii="Times New Roman" w:hAnsi="Times New Roman" w:cs="Times New Roman"/>
          <w:sz w:val="26"/>
          <w:szCs w:val="26"/>
          <w:lang w:val="vi-VN"/>
        </w:rPr>
      </w:pPr>
    </w:p>
    <w:sectPr w:rsidR="00DD42B5" w:rsidRPr="00DD42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7D"/>
    <w:multiLevelType w:val="multilevel"/>
    <w:tmpl w:val="B62C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30732"/>
    <w:multiLevelType w:val="multilevel"/>
    <w:tmpl w:val="741E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678BF"/>
    <w:multiLevelType w:val="multilevel"/>
    <w:tmpl w:val="1B2C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971A2"/>
    <w:multiLevelType w:val="multilevel"/>
    <w:tmpl w:val="585C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75A"/>
    <w:multiLevelType w:val="multilevel"/>
    <w:tmpl w:val="715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30BE1"/>
    <w:multiLevelType w:val="multilevel"/>
    <w:tmpl w:val="D0E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54463"/>
    <w:multiLevelType w:val="multilevel"/>
    <w:tmpl w:val="B328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53F36"/>
    <w:multiLevelType w:val="multilevel"/>
    <w:tmpl w:val="749E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15201"/>
    <w:multiLevelType w:val="multilevel"/>
    <w:tmpl w:val="679A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D52B0"/>
    <w:multiLevelType w:val="multilevel"/>
    <w:tmpl w:val="E2F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D0C09"/>
    <w:multiLevelType w:val="multilevel"/>
    <w:tmpl w:val="B74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23BA0"/>
    <w:multiLevelType w:val="multilevel"/>
    <w:tmpl w:val="3EB0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B1F10"/>
    <w:multiLevelType w:val="multilevel"/>
    <w:tmpl w:val="E4AC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97116"/>
    <w:multiLevelType w:val="multilevel"/>
    <w:tmpl w:val="4784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C1A88"/>
    <w:multiLevelType w:val="multilevel"/>
    <w:tmpl w:val="F046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447363">
    <w:abstractNumId w:val="14"/>
  </w:num>
  <w:num w:numId="2" w16cid:durableId="410469887">
    <w:abstractNumId w:val="6"/>
  </w:num>
  <w:num w:numId="3" w16cid:durableId="1184592893">
    <w:abstractNumId w:val="1"/>
  </w:num>
  <w:num w:numId="4" w16cid:durableId="517356798">
    <w:abstractNumId w:val="12"/>
  </w:num>
  <w:num w:numId="5" w16cid:durableId="313485310">
    <w:abstractNumId w:val="2"/>
  </w:num>
  <w:num w:numId="6" w16cid:durableId="1584796658">
    <w:abstractNumId w:val="4"/>
  </w:num>
  <w:num w:numId="7" w16cid:durableId="914363095">
    <w:abstractNumId w:val="8"/>
  </w:num>
  <w:num w:numId="8" w16cid:durableId="1120489422">
    <w:abstractNumId w:val="0"/>
  </w:num>
  <w:num w:numId="9" w16cid:durableId="571546906">
    <w:abstractNumId w:val="9"/>
  </w:num>
  <w:num w:numId="10" w16cid:durableId="1189678095">
    <w:abstractNumId w:val="3"/>
  </w:num>
  <w:num w:numId="11" w16cid:durableId="1478642805">
    <w:abstractNumId w:val="5"/>
  </w:num>
  <w:num w:numId="12" w16cid:durableId="1232886532">
    <w:abstractNumId w:val="10"/>
  </w:num>
  <w:num w:numId="13" w16cid:durableId="1465342591">
    <w:abstractNumId w:val="11"/>
  </w:num>
  <w:num w:numId="14" w16cid:durableId="191767042">
    <w:abstractNumId w:val="13"/>
  </w:num>
  <w:num w:numId="15" w16cid:durableId="549221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B5"/>
    <w:rsid w:val="00862DBF"/>
    <w:rsid w:val="00DD42B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3E9F"/>
  <w15:chartTrackingRefBased/>
  <w15:docId w15:val="{776AC473-9776-0D41-AE00-7ACF20ED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2025-03-08T03:16:00Z</dcterms:created>
  <dcterms:modified xsi:type="dcterms:W3CDTF">2025-03-08T03:27:00Z</dcterms:modified>
</cp:coreProperties>
</file>