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C27C" w14:textId="77777777" w:rsidR="00293540" w:rsidRPr="00082F35" w:rsidRDefault="00006758" w:rsidP="00082F35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  <w:r w:rsidRPr="00082F3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NHỮNG ĐIỂM MỚI TRONG LUẬT THUẾ GTGT SỬA ĐỔI NĂM 2024</w:t>
      </w:r>
    </w:p>
    <w:p w14:paraId="47741D84" w14:textId="77777777" w:rsidR="00F45BCF" w:rsidRDefault="00006758" w:rsidP="00293540">
      <w:pPr>
        <w:spacing w:before="300" w:after="15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</w:pPr>
      <w:r w:rsidRP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Nguyễn Thị Khánh Vân </w:t>
      </w:r>
    </w:p>
    <w:p w14:paraId="50286C97" w14:textId="223ADE6F" w:rsidR="00006758" w:rsidRPr="00082F35" w:rsidRDefault="00006758" w:rsidP="00293540">
      <w:pPr>
        <w:spacing w:before="300" w:after="15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</w:pPr>
      <w:r w:rsidRP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Khoa </w:t>
      </w:r>
      <w:proofErr w:type="spellStart"/>
      <w:r w:rsidRP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Kế</w:t>
      </w:r>
      <w:proofErr w:type="spellEnd"/>
      <w:r w:rsidRP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toán</w:t>
      </w:r>
      <w:proofErr w:type="spellEnd"/>
      <w:r w:rsid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- </w:t>
      </w:r>
      <w:proofErr w:type="spellStart"/>
      <w:r w:rsid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Đại</w:t>
      </w:r>
      <w:proofErr w:type="spellEnd"/>
      <w:r w:rsid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học</w:t>
      </w:r>
      <w:proofErr w:type="spellEnd"/>
      <w:r w:rsidR="00082F35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 Duy Tân</w:t>
      </w:r>
    </w:p>
    <w:p w14:paraId="44172326" w14:textId="2060F7F1" w:rsidR="00770E30" w:rsidRPr="00770E30" w:rsidRDefault="00770E30" w:rsidP="00770E30">
      <w:pPr>
        <w:spacing w:after="0" w:line="36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inline distT="0" distB="0" distL="0" distR="0" wp14:anchorId="51C830A0" wp14:editId="63ED444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388F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590E8B0F" w14:textId="0336087B" w:rsidR="00770E30" w:rsidRPr="0026379F" w:rsidRDefault="00F45BCF" w:rsidP="00293540">
      <w:pPr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hyperlink r:id="rId5" w:history="1"/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GTGT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sửa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đổi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48/2024/QH15,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Quốc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hội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qua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hiệu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lực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ngày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01/7/2025,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nhiều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đổi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trọng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nhằm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phù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tình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tế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nâng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cao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hiệu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quản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lý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chỉnh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nghiệp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hộ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mại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điện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tử</w:t>
      </w:r>
      <w:proofErr w:type="spellEnd"/>
      <w:r w:rsidR="00770E30" w:rsidRPr="00770E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Các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đổi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="00717A3E" w:rsidRPr="00263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4AF013E6" w14:textId="488AF334" w:rsidR="00A9793F" w:rsidRPr="0026379F" w:rsidRDefault="00A9793F" w:rsidP="00770E30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1.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người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nộp</w:t>
      </w:r>
      <w:proofErr w:type="spellEnd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thuế</w:t>
      </w:r>
      <w:proofErr w:type="spellEnd"/>
    </w:p>
    <w:p w14:paraId="15A0EDAE" w14:textId="29A57F40" w:rsidR="00A9793F" w:rsidRPr="0026379F" w:rsidRDefault="00A9793F" w:rsidP="00293540">
      <w:pPr>
        <w:spacing w:after="225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trị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tăng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sửa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đổi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48/2024/QH15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776DACC6" w14:textId="2627A568" w:rsidR="00A9793F" w:rsidRPr="0026379F" w:rsidRDefault="00A9793F" w:rsidP="00293540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Các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thường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trú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dựa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(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gọi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lý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trị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tăng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thường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trú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qua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kênh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</w:p>
    <w:p w14:paraId="5B87D039" w14:textId="77777777" w:rsidR="00CE21F7" w:rsidRPr="0026379F" w:rsidRDefault="00A9793F" w:rsidP="0029354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Các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lý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sàn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sẽ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kê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khai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hộ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5B442F5" w14:textId="0EC00ED3" w:rsidR="00770E30" w:rsidRPr="0026379F" w:rsidRDefault="00CE21F7" w:rsidP="00CE21F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</w:t>
      </w: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Đ</w:t>
      </w:r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iều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chỉnh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tượng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chịu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GTGT</w:t>
      </w:r>
    </w:p>
    <w:p w14:paraId="3F7966BA" w14:textId="7D79F61C" w:rsidR="00770E30" w:rsidRPr="0026379F" w:rsidRDefault="006019AB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trị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sửa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đổi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48/2024/QH15 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bỏ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> 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trước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đây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việc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xã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mua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nông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thủy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chưa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qua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biến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chỉ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mà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cần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kê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khai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nộp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ra.</w:t>
      </w:r>
    </w:p>
    <w:p w14:paraId="2F66D07A" w14:textId="172684A0" w:rsidR="00770E30" w:rsidRPr="0026379F" w:rsidRDefault="006019AB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mức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miễn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hộ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nhân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100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triệu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lên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200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triệu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>/</w:t>
      </w:r>
      <w:proofErr w:type="spellStart"/>
      <w:r w:rsidR="00CE21F7" w:rsidRPr="0026379F">
        <w:rPr>
          <w:color w:val="0D0D0D" w:themeColor="text1" w:themeTint="F2"/>
          <w:sz w:val="28"/>
          <w:szCs w:val="28"/>
        </w:rPr>
        <w:t>năm</w:t>
      </w:r>
      <w:proofErr w:type="spellEnd"/>
      <w:r w:rsidR="00CE21F7" w:rsidRPr="0026379F">
        <w:rPr>
          <w:color w:val="0D0D0D" w:themeColor="text1" w:themeTint="F2"/>
          <w:sz w:val="28"/>
          <w:szCs w:val="28"/>
        </w:rPr>
        <w:t>.</w:t>
      </w:r>
      <w:r w:rsidR="00770E30" w:rsidRPr="0026379F">
        <w:rPr>
          <w:color w:val="0D0D0D" w:themeColor="text1" w:themeTint="F2"/>
          <w:sz w:val="28"/>
          <w:szCs w:val="28"/>
        </w:rPr>
        <w:t> </w:t>
      </w:r>
    </w:p>
    <w:p w14:paraId="1658A92C" w14:textId="02D0775F" w:rsidR="00770E30" w:rsidRPr="0026379F" w:rsidRDefault="006019AB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lastRenderedPageBreak/>
        <w:t xml:space="preserve">- </w:t>
      </w:r>
      <w:r w:rsidR="00770E30" w:rsidRPr="0026379F">
        <w:rPr>
          <w:color w:val="0D0D0D" w:themeColor="text1" w:themeTint="F2"/>
          <w:sz w:val="28"/>
          <w:szCs w:val="28"/>
        </w:rPr>
        <w:t xml:space="preserve">Giao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phủ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Danh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mục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là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tài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khoáng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khai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chưa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biến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là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tài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khoáng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khai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đã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biến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thuộc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tượng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chịu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trị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>.</w:t>
      </w:r>
    </w:p>
    <w:p w14:paraId="625EB015" w14:textId="57EFF540" w:rsidR="00770E30" w:rsidRPr="0026379F" w:rsidRDefault="006019AB" w:rsidP="00293540">
      <w:pPr>
        <w:pStyle w:val="NormalWeb"/>
        <w:shd w:val="clear" w:color="auto" w:fill="FFFFFF"/>
        <w:spacing w:before="0" w:beforeAutospacing="0" w:after="225" w:afterAutospacing="0"/>
        <w:ind w:firstLine="675"/>
        <w:jc w:val="both"/>
        <w:rPr>
          <w:color w:val="0D0D0D" w:themeColor="text1" w:themeTint="F2"/>
          <w:sz w:val="28"/>
          <w:szCs w:val="28"/>
        </w:rPr>
      </w:pPr>
      <w:r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Bổ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sung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danh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mục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hàng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dịch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vụ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chịu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GTGT, bao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gồm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:</w:t>
      </w:r>
    </w:p>
    <w:p w14:paraId="6596112F" w14:textId="77777777" w:rsidR="00770E30" w:rsidRPr="0026379F" w:rsidRDefault="00770E30" w:rsidP="00770E3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Các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khoản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đồng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vốn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giữa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phủ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quốc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91E2612" w14:textId="77777777" w:rsidR="00770E30" w:rsidRPr="0026379F" w:rsidRDefault="00770E30" w:rsidP="00770E3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ty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thuê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nghiệp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thuê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4A74CE5" w14:textId="77777777" w:rsidR="00770E30" w:rsidRPr="0026379F" w:rsidRDefault="00770E30" w:rsidP="00770E3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ủng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hộ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trợ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phòng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chống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khắc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phục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hậu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thảm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tai,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bệnh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chiến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phủ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13DA430" w14:textId="77777777" w:rsidR="00770E30" w:rsidRPr="0026379F" w:rsidRDefault="00770E30" w:rsidP="00770E3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quốc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do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thẩm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5C5F76E" w14:textId="02993E40" w:rsidR="006019AB" w:rsidRPr="0026379F" w:rsidRDefault="00EA673C" w:rsidP="00EA673C">
      <w:pPr>
        <w:pStyle w:val="NormalWeb"/>
        <w:shd w:val="clear" w:color="auto" w:fill="FFFFFF"/>
        <w:spacing w:before="0" w:beforeAutospacing="0" w:after="225" w:afterAutospacing="0"/>
        <w:ind w:firstLine="675"/>
        <w:jc w:val="both"/>
        <w:rPr>
          <w:color w:val="0D0D0D" w:themeColor="text1" w:themeTint="F2"/>
          <w:sz w:val="28"/>
          <w:szCs w:val="28"/>
        </w:rPr>
      </w:pPr>
      <w:r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- </w:t>
      </w:r>
      <w:proofErr w:type="spellStart"/>
      <w:r w:rsidR="006019AB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Đ</w:t>
      </w:r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iều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chỉnh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và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làm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rõ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một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số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nhóm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hàng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dịch</w:t>
      </w:r>
      <w:proofErr w:type="spellEnd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b w:val="0"/>
          <w:bCs w:val="0"/>
          <w:color w:val="0D0D0D" w:themeColor="text1" w:themeTint="F2"/>
          <w:sz w:val="28"/>
          <w:szCs w:val="28"/>
        </w:rPr>
        <w:t>vụ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> 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như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chứng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khoán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phái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quốc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phòng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gramStart"/>
      <w:r w:rsidR="00770E30" w:rsidRPr="0026379F">
        <w:rPr>
          <w:color w:val="0D0D0D" w:themeColor="text1" w:themeTint="F2"/>
          <w:sz w:val="28"/>
          <w:szCs w:val="28"/>
        </w:rPr>
        <w:t>an</w:t>
      </w:r>
      <w:proofErr w:type="gram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…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nhằm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đảm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bộ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pháp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chuyên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tránh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vướng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mắc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trong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trình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thực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hiện</w:t>
      </w:r>
      <w:proofErr w:type="spellEnd"/>
    </w:p>
    <w:p w14:paraId="5E67BF46" w14:textId="66D99ED3" w:rsidR="00770E30" w:rsidRPr="0026379F" w:rsidRDefault="006019AB" w:rsidP="006019AB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26379F">
        <w:rPr>
          <w:b/>
          <w:bCs/>
          <w:color w:val="0D0D0D" w:themeColor="text1" w:themeTint="F2"/>
          <w:sz w:val="28"/>
          <w:szCs w:val="28"/>
        </w:rPr>
        <w:t>3</w:t>
      </w:r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S</w:t>
      </w:r>
      <w:r w:rsidR="00770E30" w:rsidRPr="0026379F">
        <w:rPr>
          <w:rStyle w:val="Strong"/>
          <w:color w:val="0D0D0D" w:themeColor="text1" w:themeTint="F2"/>
          <w:sz w:val="28"/>
          <w:szCs w:val="28"/>
        </w:rPr>
        <w:t>ửa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đổi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tính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</w:p>
    <w:p w14:paraId="4D21D47E" w14:textId="665CF719" w:rsidR="00770E30" w:rsidRPr="0026379F" w:rsidRDefault="006019AB" w:rsidP="00EA673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Sửa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đổi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nhập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sẽ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chỉnh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bộ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nhập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>.</w:t>
      </w:r>
    </w:p>
    <w:p w14:paraId="31874AB2" w14:textId="77777777" w:rsidR="001161C9" w:rsidRPr="0026379F" w:rsidRDefault="006019AB" w:rsidP="00EA673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tắc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xác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đất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khi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hoạt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động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bất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động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cụ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thể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một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ngành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đặc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thù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như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điện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lực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vận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tải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du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lịch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lữ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cầm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đồ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sách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chịu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trị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bán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đúng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phát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hành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bìa</w:t>
      </w:r>
      <w:proofErr w:type="spellEnd"/>
      <w:proofErr w:type="gramStart"/>
      <w:r w:rsidR="00770E30" w:rsidRPr="0026379F">
        <w:rPr>
          <w:color w:val="0D0D0D" w:themeColor="text1" w:themeTint="F2"/>
          <w:sz w:val="28"/>
          <w:szCs w:val="28"/>
        </w:rPr>
        <w:t>);…</w:t>
      </w:r>
      <w:proofErr w:type="gramEnd"/>
      <w:r w:rsidR="00770E30" w:rsidRPr="0026379F">
        <w:rPr>
          <w:color w:val="0D0D0D" w:themeColor="text1" w:themeTint="F2"/>
          <w:sz w:val="28"/>
          <w:szCs w:val="28"/>
        </w:rPr>
        <w:t xml:space="preserve">)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phủ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phù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tình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hình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color w:val="0D0D0D" w:themeColor="text1" w:themeTint="F2"/>
          <w:sz w:val="28"/>
          <w:szCs w:val="28"/>
        </w:rPr>
        <w:t>hiện</w:t>
      </w:r>
      <w:proofErr w:type="spellEnd"/>
      <w:r w:rsidR="00770E30" w:rsidRPr="0026379F">
        <w:rPr>
          <w:color w:val="0D0D0D" w:themeColor="text1" w:themeTint="F2"/>
          <w:sz w:val="28"/>
          <w:szCs w:val="28"/>
        </w:rPr>
        <w:t xml:space="preserve"> nay.</w:t>
      </w:r>
    </w:p>
    <w:p w14:paraId="629483C8" w14:textId="3F5D9159" w:rsidR="00770E30" w:rsidRPr="0026379F" w:rsidRDefault="001161C9" w:rsidP="001161C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26379F">
        <w:rPr>
          <w:b/>
          <w:bCs/>
          <w:color w:val="0D0D0D" w:themeColor="text1" w:themeTint="F2"/>
          <w:sz w:val="28"/>
          <w:szCs w:val="28"/>
        </w:rPr>
        <w:t>4.</w:t>
      </w:r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Bổ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sung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quy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về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điểm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xác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định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GTGT</w:t>
      </w:r>
    </w:p>
    <w:p w14:paraId="76906DEA" w14:textId="49BB46B8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thời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điểm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</w:t>
      </w:r>
      <w:r w:rsidR="001161C9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161C9" w:rsidRPr="0026379F">
        <w:rPr>
          <w:color w:val="0D0D0D" w:themeColor="text1" w:themeTint="F2"/>
          <w:sz w:val="28"/>
          <w:szCs w:val="28"/>
        </w:rPr>
        <w:t>cụ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thể</w:t>
      </w:r>
      <w:proofErr w:type="spellEnd"/>
      <w:r w:rsidR="001161C9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color w:val="0D0D0D" w:themeColor="text1" w:themeTint="F2"/>
          <w:sz w:val="28"/>
          <w:szCs w:val="28"/>
        </w:rPr>
        <w:t>:</w:t>
      </w:r>
    </w:p>
    <w:p w14:paraId="1DD5972E" w14:textId="59E6B9A0" w:rsidR="00770E30" w:rsidRPr="0026379F" w:rsidRDefault="001161C9" w:rsidP="00EA673C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giao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sở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hữu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sử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lập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phân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hay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chưa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378C5EF" w14:textId="77777777" w:rsidR="001161C9" w:rsidRPr="0026379F" w:rsidRDefault="001161C9" w:rsidP="00EA673C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hoàn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lập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phân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hay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chưa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tiền</w:t>
      </w:r>
      <w:proofErr w:type="spellEnd"/>
      <w:r w:rsidR="00770E30"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E81E8AE" w14:textId="77777777" w:rsidR="001161C9" w:rsidRPr="0026379F" w:rsidRDefault="001161C9" w:rsidP="001161C9">
      <w:pPr>
        <w:shd w:val="clear" w:color="auto" w:fill="FFFFFF"/>
        <w:spacing w:before="100" w:beforeAutospacing="1" w:after="0" w:line="240" w:lineRule="auto"/>
        <w:jc w:val="both"/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chỉnh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="00770E30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5179E76" w14:textId="309D0A55" w:rsidR="001161C9" w:rsidRPr="0026379F" w:rsidRDefault="009F612D" w:rsidP="0026379F">
      <w:pPr>
        <w:shd w:val="clear" w:color="auto" w:fill="FFFFFF"/>
        <w:spacing w:before="100" w:beforeAutospacing="1" w:after="0" w:line="240" w:lineRule="auto"/>
        <w:jc w:val="both"/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M</w:t>
      </w:r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ức</w:t>
      </w:r>
      <w:proofErr w:type="spellEnd"/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="001161C9"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</w:t>
      </w:r>
    </w:p>
    <w:p w14:paraId="5C666842" w14:textId="15B17D10" w:rsidR="001161C9" w:rsidRPr="0026379F" w:rsidRDefault="001161C9" w:rsidP="001161C9">
      <w:pPr>
        <w:spacing w:after="3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5FBA9AA5" w14:textId="1A043845" w:rsidR="001161C9" w:rsidRPr="0026379F" w:rsidRDefault="001161C9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Nam;</w:t>
      </w:r>
    </w:p>
    <w:p w14:paraId="14CB90A6" w14:textId="555E4AFF" w:rsidR="001161C9" w:rsidRPr="0026379F" w:rsidRDefault="001161C9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phục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078E893" w14:textId="6EDD9424" w:rsidR="001161C9" w:rsidRPr="0026379F" w:rsidRDefault="001161C9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Nam)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thủ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tục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019E4AB" w14:textId="1A3B7C55" w:rsidR="001161C9" w:rsidRPr="0026379F" w:rsidRDefault="001161C9" w:rsidP="00EA673C">
      <w:pPr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cửa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miễn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540724D" w14:textId="77777777" w:rsidR="001161C9" w:rsidRPr="0026379F" w:rsidRDefault="001161C9" w:rsidP="001161C9">
      <w:pPr>
        <w:spacing w:after="3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546DDE25" w14:textId="76890CDD" w:rsidR="001161C9" w:rsidRPr="0026379F" w:rsidRDefault="001161C9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Nam;</w:t>
      </w:r>
    </w:p>
    <w:p w14:paraId="771D9740" w14:textId="2C80AD30" w:rsidR="001161C9" w:rsidRPr="0026379F" w:rsidRDefault="001161C9" w:rsidP="00EA673C">
      <w:pPr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phục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EA86AA0" w14:textId="77777777" w:rsidR="009F612D" w:rsidRPr="0026379F" w:rsidRDefault="009F612D" w:rsidP="009F612D">
      <w:pPr>
        <w:spacing w:after="3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C440625" w14:textId="31FA2767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quốc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8ACB933" w14:textId="6245E54F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thuê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phạm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lãnh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Nam;</w:t>
      </w:r>
    </w:p>
    <w:p w14:paraId="65498176" w14:textId="3E9AD53B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ngành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trực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qua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lý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quốc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FF884F3" w14:textId="0CBD5158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xây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dựng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lắp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trình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C114C80" w14:textId="02C81323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phẩm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dung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tin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hồ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liệu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phủ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EB08566" w14:textId="2D5AF633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tư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sửa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chữa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tiện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máy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móc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thiết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Nam;</w:t>
      </w:r>
    </w:p>
    <w:p w14:paraId="24FA44B1" w14:textId="48A346D5" w:rsidR="009F612D" w:rsidRPr="0026379F" w:rsidRDefault="009F612D" w:rsidP="00EA673C">
      <w:pPr>
        <w:spacing w:before="100" w:beforeAutospacing="1" w:after="15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F80E39A" w14:textId="579B99C0" w:rsidR="009F612D" w:rsidRPr="0026379F" w:rsidRDefault="009F612D" w:rsidP="00EA673C">
      <w:pPr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thuộc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tượng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chịu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trị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tăng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772494B7" w14:textId="77777777" w:rsidR="009F612D" w:rsidRPr="0026379F" w:rsidRDefault="009F612D" w:rsidP="009F612D">
      <w:pPr>
        <w:spacing w:after="31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Các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0% bao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516A1CE7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nghệ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hữu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trí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tuệ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ra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EE39D76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hiểm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ra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D1CA603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3F199B87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nhượng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vốn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4706D19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phẩm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781636DD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bưu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viễn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743B3E0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phẩm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khoản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23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B5847F4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Thuốc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rượu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EA2AA5C" w14:textId="77777777" w:rsidR="009F612D" w:rsidRPr="0026379F" w:rsidRDefault="009F612D" w:rsidP="0034651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Xăng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dầu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nội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C80AD91" w14:textId="77777777" w:rsidR="009F612D" w:rsidRPr="0026379F" w:rsidRDefault="009F612D" w:rsidP="009F612D">
      <w:pPr>
        <w:numPr>
          <w:ilvl w:val="0"/>
          <w:numId w:val="7"/>
        </w:numPr>
        <w:spacing w:before="100" w:beforeAutospacing="1" w:after="150" w:line="240" w:lineRule="auto"/>
        <w:ind w:left="103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Xe ô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phi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</w:p>
    <w:p w14:paraId="49C494E4" w14:textId="4F8F6D97" w:rsidR="00770E30" w:rsidRPr="0026379F" w:rsidRDefault="00770E30" w:rsidP="009F612D">
      <w:pPr>
        <w:spacing w:before="100" w:beforeAutospacing="1" w:after="150" w:line="240" w:lineRule="auto"/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5%</w:t>
      </w:r>
    </w:p>
    <w:p w14:paraId="1F3FAD01" w14:textId="77777777" w:rsidR="009F612D" w:rsidRPr="0026379F" w:rsidRDefault="009F612D" w:rsidP="00293540">
      <w:pPr>
        <w:spacing w:after="315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5%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đây</w:t>
      </w:r>
      <w:proofErr w:type="spellEnd"/>
      <w:r w:rsidRPr="0026379F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:</w:t>
      </w:r>
    </w:p>
    <w:p w14:paraId="68DCBC21" w14:textId="4DCEE5E6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Nước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sạch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phục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sinh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hoạt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bao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gồm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loại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nước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uống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đóng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chai,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đóng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bình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loại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nước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giải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khát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772A23BD" w14:textId="34EBD64F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Phân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bón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quặng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phân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bón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thuốc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vệ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thực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vật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kích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thích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trưởng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vật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nuôi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pháp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26A9FD20" w14:textId="716DF549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đào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đắp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nạo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vét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kênh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mương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ao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hồ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phục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nuôi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trồng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chăm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sóc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phòng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sâu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bệnh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cây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trồng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sơ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quản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62608B04" w14:textId="0627752F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cây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trồng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rừng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trồng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gỗ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măng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),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chăn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nuôi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thuỷ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nuôi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trồng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đánh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bắt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chưa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biến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thành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hoặc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chỉ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qua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sơ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chế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thường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khoản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1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5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này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2CC202DA" w14:textId="23701848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cao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su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dạng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cờ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rếp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tờ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bún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cốm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lưới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dây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giềng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sợi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đan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lưới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đánh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cá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29F43C57" w14:textId="6E325FC9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bằng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đay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cói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tre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nứa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lá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rơm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vỏ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dừa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sọ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dừa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bèo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tây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phẩm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bằng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liệu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tận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dụng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xơ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đã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qua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chải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thô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chải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kỹ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giấy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in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báo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19BB929A" w14:textId="74CD301D" w:rsidR="009F612D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Tàu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khai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thác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thủy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vùng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biển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máy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móc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thiết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bị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chuyên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dùng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phục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nông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9F612D" w:rsidRPr="0026379F">
        <w:rPr>
          <w:color w:val="0D0D0D" w:themeColor="text1" w:themeTint="F2"/>
          <w:sz w:val="28"/>
          <w:szCs w:val="28"/>
        </w:rPr>
        <w:t>phủ</w:t>
      </w:r>
      <w:proofErr w:type="spellEnd"/>
      <w:r w:rsidR="009F612D" w:rsidRPr="0026379F">
        <w:rPr>
          <w:color w:val="0D0D0D" w:themeColor="text1" w:themeTint="F2"/>
          <w:sz w:val="28"/>
          <w:szCs w:val="28"/>
        </w:rPr>
        <w:t>;</w:t>
      </w:r>
    </w:p>
    <w:p w14:paraId="17ADD70E" w14:textId="016A9684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Thiết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bị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y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tế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pháp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quản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lý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thiết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bị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y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tế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thuốc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phòng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bệnh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chữa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bệnh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dược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chất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dược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liệu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là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liệu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thuốc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chữa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bệnh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thuốc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phòng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bệnh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>;</w:t>
      </w:r>
    </w:p>
    <w:p w14:paraId="031FF414" w14:textId="0120B10D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Thiết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bị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dùng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giảng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dạy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học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tập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bao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gồm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loại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mô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hình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hình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vẽ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bảng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phấn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thước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>, com-pa;</w:t>
      </w:r>
    </w:p>
    <w:p w14:paraId="7BE35B62" w14:textId="2E8B5269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Hoạt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động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nghệ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thuật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biểu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diễn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truyền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thống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dân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gian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>;</w:t>
      </w:r>
    </w:p>
    <w:p w14:paraId="5C35C0AE" w14:textId="47133E8E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Đồ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chơi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trẻ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em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sách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loại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sách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khoản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15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5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này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>;</w:t>
      </w:r>
    </w:p>
    <w:p w14:paraId="152DAA5B" w14:textId="4DBDA196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khoa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học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công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nghệ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Khoa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học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công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nghệ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>;</w:t>
      </w:r>
    </w:p>
    <w:p w14:paraId="24E35482" w14:textId="49463E35" w:rsidR="00190581" w:rsidRPr="0026379F" w:rsidRDefault="0026379F" w:rsidP="00EA673C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90581" w:rsidRPr="0026379F">
        <w:rPr>
          <w:color w:val="0D0D0D" w:themeColor="text1" w:themeTint="F2"/>
          <w:sz w:val="28"/>
          <w:szCs w:val="28"/>
        </w:rPr>
        <w:t xml:space="preserve"> Bán,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thuê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thuê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mua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nhà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ở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xã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hội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90581" w:rsidRPr="0026379F">
        <w:rPr>
          <w:color w:val="0D0D0D" w:themeColor="text1" w:themeTint="F2"/>
          <w:sz w:val="28"/>
          <w:szCs w:val="28"/>
        </w:rPr>
        <w:t>Nhà</w:t>
      </w:r>
      <w:proofErr w:type="spellEnd"/>
      <w:r w:rsidR="00190581" w:rsidRPr="0026379F">
        <w:rPr>
          <w:color w:val="0D0D0D" w:themeColor="text1" w:themeTint="F2"/>
          <w:sz w:val="28"/>
          <w:szCs w:val="28"/>
        </w:rPr>
        <w:t xml:space="preserve"> ở.</w:t>
      </w:r>
    </w:p>
    <w:p w14:paraId="63173FA9" w14:textId="34EE0C66" w:rsidR="00770E30" w:rsidRPr="0026379F" w:rsidRDefault="00770E30" w:rsidP="00190581">
      <w:pPr>
        <w:pStyle w:val="NormalWeb"/>
        <w:spacing w:before="0" w:beforeAutospacing="0" w:after="225" w:afterAutospacing="0"/>
        <w:jc w:val="both"/>
        <w:rPr>
          <w:rStyle w:val="Strong"/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Mức</w:t>
      </w:r>
      <w:proofErr w:type="spellEnd"/>
      <w:r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rStyle w:val="Strong"/>
          <w:color w:val="0D0D0D" w:themeColor="text1" w:themeTint="F2"/>
          <w:sz w:val="28"/>
          <w:szCs w:val="28"/>
        </w:rPr>
        <w:t xml:space="preserve"> 10%</w:t>
      </w:r>
    </w:p>
    <w:p w14:paraId="57953B6D" w14:textId="77777777" w:rsidR="00CB1952" w:rsidRPr="0026379F" w:rsidRDefault="00190581" w:rsidP="00293540">
      <w:pPr>
        <w:pStyle w:val="NormalWeb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10% </w:t>
      </w:r>
      <w:proofErr w:type="spellStart"/>
      <w:r w:rsidRPr="0026379F">
        <w:rPr>
          <w:color w:val="0D0D0D" w:themeColor="text1" w:themeTint="F2"/>
          <w:sz w:val="28"/>
          <w:szCs w:val="28"/>
        </w:rPr>
        <w:t>áp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dụng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khoản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1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khoản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2 </w:t>
      </w:r>
      <w:proofErr w:type="spellStart"/>
      <w:r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9 </w:t>
      </w:r>
      <w:proofErr w:type="spellStart"/>
      <w:r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2024, bao </w:t>
      </w:r>
      <w:proofErr w:type="spellStart"/>
      <w:r w:rsidRPr="0026379F">
        <w:rPr>
          <w:color w:val="0D0D0D" w:themeColor="text1" w:themeTint="F2"/>
          <w:sz w:val="28"/>
          <w:szCs w:val="28"/>
        </w:rPr>
        <w:t>gồm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cả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ngoài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trú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Việt Nam </w:t>
      </w:r>
      <w:proofErr w:type="spellStart"/>
      <w:r w:rsidRPr="0026379F">
        <w:rPr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cấp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tại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Việt Nam qua </w:t>
      </w:r>
      <w:proofErr w:type="spellStart"/>
      <w:r w:rsidRPr="0026379F">
        <w:rPr>
          <w:color w:val="0D0D0D" w:themeColor="text1" w:themeTint="F2"/>
          <w:sz w:val="28"/>
          <w:szCs w:val="28"/>
        </w:rPr>
        <w:t>kênh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thương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mại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tử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nền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tảng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số</w:t>
      </w:r>
      <w:proofErr w:type="spellEnd"/>
    </w:p>
    <w:p w14:paraId="498449FD" w14:textId="220CB640" w:rsidR="00770E30" w:rsidRPr="0026379F" w:rsidRDefault="00CB1952" w:rsidP="00CB1952">
      <w:pPr>
        <w:pStyle w:val="NormalWeb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26379F">
        <w:rPr>
          <w:rStyle w:val="Strong"/>
          <w:color w:val="0D0D0D" w:themeColor="text1" w:themeTint="F2"/>
          <w:sz w:val="28"/>
          <w:szCs w:val="28"/>
        </w:rPr>
        <w:t>6.</w:t>
      </w:r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Thay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đổi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điều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kiện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khấu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trừ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Giá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trị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gia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tăng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đầu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vào</w:t>
      </w:r>
      <w:proofErr w:type="spellEnd"/>
    </w:p>
    <w:p w14:paraId="73174EF7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675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lastRenderedPageBreak/>
        <w:t>Sửa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đổi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phát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sai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sót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việc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kê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khai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>.</w:t>
      </w:r>
    </w:p>
    <w:p w14:paraId="603D54B0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675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phép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chi </w:t>
      </w:r>
      <w:proofErr w:type="spellStart"/>
      <w:r w:rsidRPr="0026379F">
        <w:rPr>
          <w:color w:val="0D0D0D" w:themeColor="text1" w:themeTint="F2"/>
          <w:sz w:val="28"/>
          <w:szCs w:val="28"/>
        </w:rPr>
        <w:t>phí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nguyên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cố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nhằm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đảm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ổn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sách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>.</w:t>
      </w:r>
    </w:p>
    <w:p w14:paraId="2BE6C0A0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675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color w:val="0D0D0D" w:themeColor="text1" w:themeTint="F2"/>
          <w:sz w:val="28"/>
          <w:szCs w:val="28"/>
        </w:rPr>
        <w:t>:</w:t>
      </w:r>
    </w:p>
    <w:p w14:paraId="4E78880D" w14:textId="77777777" w:rsidR="00770E30" w:rsidRPr="0026379F" w:rsidRDefault="00770E30" w:rsidP="00770E30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góp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vốn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10830F8" w14:textId="77777777" w:rsidR="00770E30" w:rsidRPr="0026379F" w:rsidRDefault="00770E30" w:rsidP="00770E30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qua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tên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vị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ủy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24B5031" w14:textId="77777777" w:rsidR="00770E30" w:rsidRPr="0026379F" w:rsidRDefault="00770E30" w:rsidP="00770E3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Ô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chỗ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ngồi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trở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xuống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E504730" w14:textId="77777777" w:rsidR="00770E30" w:rsidRPr="0026379F" w:rsidRDefault="00770E30" w:rsidP="00770E3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Quy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rõ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rằng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giao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mua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phải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chứng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toán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dùng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tiền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mặt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một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đặc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biệt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bởi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phủ</w:t>
      </w:r>
      <w:proofErr w:type="spellEnd"/>
      <w:r w:rsidRPr="0026379F">
        <w:rPr>
          <w:color w:val="0D0D0D" w:themeColor="text1" w:themeTint="F2"/>
          <w:sz w:val="28"/>
          <w:szCs w:val="28"/>
        </w:rPr>
        <w:t>.).</w:t>
      </w:r>
    </w:p>
    <w:p w14:paraId="18405360" w14:textId="77777777" w:rsidR="00E75665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chứng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phiếu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đóng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gói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vận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chứng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hiểm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26379F">
        <w:rPr>
          <w:color w:val="0D0D0D" w:themeColor="text1" w:themeTint="F2"/>
          <w:sz w:val="28"/>
          <w:szCs w:val="28"/>
        </w:rPr>
        <w:t>nếu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)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sẽ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chấp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nhận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để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26379F">
        <w:rPr>
          <w:color w:val="0D0D0D" w:themeColor="text1" w:themeTint="F2"/>
          <w:sz w:val="28"/>
          <w:szCs w:val="28"/>
        </w:rPr>
        <w:t>Một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đặc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thù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vẫn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sẽ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tuân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phủ</w:t>
      </w:r>
      <w:proofErr w:type="spellEnd"/>
      <w:r w:rsidRPr="0026379F">
        <w:rPr>
          <w:color w:val="0D0D0D" w:themeColor="text1" w:themeTint="F2"/>
          <w:sz w:val="28"/>
          <w:szCs w:val="28"/>
        </w:rPr>
        <w:t>.</w:t>
      </w:r>
    </w:p>
    <w:p w14:paraId="7BFC2E95" w14:textId="779256B9" w:rsidR="00770E30" w:rsidRPr="0026379F" w:rsidRDefault="00E75665" w:rsidP="00E7566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26379F">
        <w:rPr>
          <w:rStyle w:val="Strong"/>
          <w:color w:val="0D0D0D" w:themeColor="text1" w:themeTint="F2"/>
          <w:sz w:val="28"/>
          <w:szCs w:val="28"/>
        </w:rPr>
        <w:t>7.</w:t>
      </w:r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Bổ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sung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trường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hợp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hoàn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="00770E30" w:rsidRPr="0026379F">
        <w:rPr>
          <w:rStyle w:val="Strong"/>
          <w:color w:val="0D0D0D" w:themeColor="text1" w:themeTint="F2"/>
          <w:sz w:val="28"/>
          <w:szCs w:val="28"/>
        </w:rPr>
        <w:t>thuế</w:t>
      </w:r>
      <w:proofErr w:type="spellEnd"/>
      <w:r w:rsidR="00770E30" w:rsidRPr="0026379F">
        <w:rPr>
          <w:rStyle w:val="Strong"/>
          <w:color w:val="0D0D0D" w:themeColor="text1" w:themeTint="F2"/>
          <w:sz w:val="28"/>
          <w:szCs w:val="28"/>
        </w:rPr>
        <w:t xml:space="preserve"> GTGT</w:t>
      </w:r>
    </w:p>
    <w:p w14:paraId="14941456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sản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cung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ứng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chịu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5%, </w:t>
      </w:r>
      <w:proofErr w:type="spellStart"/>
      <w:r w:rsidRPr="0026379F">
        <w:rPr>
          <w:color w:val="0D0D0D" w:themeColor="text1" w:themeTint="F2"/>
          <w:sz w:val="28"/>
          <w:szCs w:val="28"/>
        </w:rPr>
        <w:t>nếu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số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chưa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khấu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hết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từ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300 </w:t>
      </w:r>
      <w:proofErr w:type="spellStart"/>
      <w:r w:rsidRPr="0026379F">
        <w:rPr>
          <w:color w:val="0D0D0D" w:themeColor="text1" w:themeTint="F2"/>
          <w:sz w:val="28"/>
          <w:szCs w:val="28"/>
        </w:rPr>
        <w:t>triệu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đồng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trở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lên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sau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12 </w:t>
      </w:r>
      <w:proofErr w:type="spellStart"/>
      <w:r w:rsidRPr="0026379F">
        <w:rPr>
          <w:color w:val="0D0D0D" w:themeColor="text1" w:themeTint="F2"/>
          <w:sz w:val="28"/>
          <w:szCs w:val="28"/>
        </w:rPr>
        <w:t>tháng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04 </w:t>
      </w:r>
      <w:proofErr w:type="spellStart"/>
      <w:r w:rsidRPr="0026379F">
        <w:rPr>
          <w:color w:val="0D0D0D" w:themeColor="text1" w:themeTint="F2"/>
          <w:sz w:val="28"/>
          <w:szCs w:val="28"/>
        </w:rPr>
        <w:t>quý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thì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được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GTGT.</w:t>
      </w:r>
    </w:p>
    <w:p w14:paraId="0FDCEF67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làm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rõ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nhập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rồi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sang </w:t>
      </w:r>
      <w:proofErr w:type="spellStart"/>
      <w:r w:rsidRPr="0026379F">
        <w:rPr>
          <w:color w:val="0D0D0D" w:themeColor="text1" w:themeTint="F2"/>
          <w:sz w:val="28"/>
          <w:szCs w:val="28"/>
        </w:rPr>
        <w:t>nước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sẽ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thuộc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trường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hợp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>.</w:t>
      </w:r>
    </w:p>
    <w:p w14:paraId="29D8F2D3" w14:textId="77777777" w:rsidR="00770E30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26379F">
        <w:rPr>
          <w:color w:val="0D0D0D" w:themeColor="text1" w:themeTint="F2"/>
          <w:sz w:val="28"/>
          <w:szCs w:val="28"/>
        </w:rPr>
        <w:t xml:space="preserve">Quy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chi </w:t>
      </w:r>
      <w:proofErr w:type="spellStart"/>
      <w:r w:rsidRPr="0026379F">
        <w:rPr>
          <w:color w:val="0D0D0D" w:themeColor="text1" w:themeTint="F2"/>
          <w:sz w:val="28"/>
          <w:szCs w:val="28"/>
        </w:rPr>
        <w:t>tiết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GTGT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dự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hàng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hóa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dịch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vụ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xuất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khẩu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Giá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trị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gia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tăng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đối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với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dự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án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sở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ngành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nghề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có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khi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chưa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đủ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các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theo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pháp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luật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đầu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tư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hoặc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không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bảo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đảm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trì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đủ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trình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hoạt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động</w:t>
      </w:r>
      <w:proofErr w:type="spellEnd"/>
    </w:p>
    <w:p w14:paraId="6A0E694D" w14:textId="77777777" w:rsidR="00E75665" w:rsidRPr="0026379F" w:rsidRDefault="00770E30" w:rsidP="00293540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</w:rPr>
        <w:t>Bổ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sung </w:t>
      </w:r>
      <w:proofErr w:type="spellStart"/>
      <w:r w:rsidRPr="0026379F">
        <w:rPr>
          <w:color w:val="0D0D0D" w:themeColor="text1" w:themeTint="F2"/>
          <w:sz w:val="28"/>
          <w:szCs w:val="28"/>
        </w:rPr>
        <w:t>quy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định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về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điều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kiện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trách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nhiệm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của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doanh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nghiệp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và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quan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trong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quá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trình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hoàn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thuế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26379F">
        <w:rPr>
          <w:color w:val="0D0D0D" w:themeColor="text1" w:themeTint="F2"/>
          <w:sz w:val="28"/>
          <w:szCs w:val="28"/>
        </w:rPr>
        <w:t>nhằm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nâng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cao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tính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minh</w:t>
      </w:r>
      <w:proofErr w:type="spellEnd"/>
      <w:r w:rsidRPr="0026379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color w:val="0D0D0D" w:themeColor="text1" w:themeTint="F2"/>
          <w:sz w:val="28"/>
          <w:szCs w:val="28"/>
        </w:rPr>
        <w:t>bạch</w:t>
      </w:r>
      <w:proofErr w:type="spellEnd"/>
      <w:r w:rsidRPr="0026379F">
        <w:rPr>
          <w:color w:val="0D0D0D" w:themeColor="text1" w:themeTint="F2"/>
          <w:sz w:val="28"/>
          <w:szCs w:val="28"/>
        </w:rPr>
        <w:t>.</w:t>
      </w:r>
    </w:p>
    <w:p w14:paraId="71D357EB" w14:textId="5CD28DE0" w:rsidR="00770E30" w:rsidRPr="0026379F" w:rsidRDefault="00770E30" w:rsidP="00E7566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Kết</w:t>
      </w:r>
      <w:proofErr w:type="spellEnd"/>
      <w:r w:rsidRPr="0026379F">
        <w:rPr>
          <w:rStyle w:val="Strong"/>
          <w:color w:val="0D0D0D" w:themeColor="text1" w:themeTint="F2"/>
          <w:sz w:val="28"/>
          <w:szCs w:val="28"/>
        </w:rPr>
        <w:t xml:space="preserve"> </w:t>
      </w:r>
      <w:proofErr w:type="spellStart"/>
      <w:r w:rsidRPr="0026379F">
        <w:rPr>
          <w:rStyle w:val="Strong"/>
          <w:color w:val="0D0D0D" w:themeColor="text1" w:themeTint="F2"/>
          <w:sz w:val="28"/>
          <w:szCs w:val="28"/>
        </w:rPr>
        <w:t>luận</w:t>
      </w:r>
      <w:proofErr w:type="spellEnd"/>
    </w:p>
    <w:p w14:paraId="540148DE" w14:textId="77777777" w:rsidR="00F1063C" w:rsidRPr="00F1063C" w:rsidRDefault="00F1063C" w:rsidP="00F1063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proofErr w:type="spellStart"/>
      <w:r w:rsidRPr="00F1063C">
        <w:rPr>
          <w:sz w:val="28"/>
          <w:szCs w:val="28"/>
        </w:rPr>
        <w:lastRenderedPageBreak/>
        <w:t>Việc</w:t>
      </w:r>
      <w:proofErr w:type="spellEnd"/>
      <w:r w:rsidRPr="00F1063C">
        <w:rPr>
          <w:sz w:val="28"/>
          <w:szCs w:val="28"/>
        </w:rPr>
        <w:t xml:space="preserve"> ban </w:t>
      </w:r>
      <w:proofErr w:type="spellStart"/>
      <w:r w:rsidRPr="00F1063C">
        <w:rPr>
          <w:sz w:val="28"/>
          <w:szCs w:val="28"/>
        </w:rPr>
        <w:t>hành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Luật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Thuế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Giá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trị</w:t>
      </w:r>
      <w:proofErr w:type="spellEnd"/>
      <w:r w:rsidRPr="00F1063C">
        <w:rPr>
          <w:sz w:val="28"/>
          <w:szCs w:val="28"/>
        </w:rPr>
        <w:t xml:space="preserve"> Gia </w:t>
      </w:r>
      <w:proofErr w:type="spellStart"/>
      <w:r w:rsidRPr="00F1063C">
        <w:rPr>
          <w:sz w:val="28"/>
          <w:szCs w:val="28"/>
        </w:rPr>
        <w:t>tăng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sửa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đổi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đánh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dấu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một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bước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tiến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quan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trọng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trong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công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tác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quản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lý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thuế</w:t>
      </w:r>
      <w:proofErr w:type="spellEnd"/>
      <w:r w:rsidRPr="00F1063C">
        <w:rPr>
          <w:sz w:val="28"/>
          <w:szCs w:val="28"/>
        </w:rPr>
        <w:t xml:space="preserve">, </w:t>
      </w:r>
      <w:proofErr w:type="spellStart"/>
      <w:r w:rsidRPr="00F1063C">
        <w:rPr>
          <w:sz w:val="28"/>
          <w:szCs w:val="28"/>
        </w:rPr>
        <w:t>đồng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thời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tạo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động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lực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thúc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đẩy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tăng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trưởng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kinh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tế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bền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vững</w:t>
      </w:r>
      <w:proofErr w:type="spellEnd"/>
      <w:r w:rsidRPr="00F1063C">
        <w:rPr>
          <w:sz w:val="28"/>
          <w:szCs w:val="28"/>
        </w:rPr>
        <w:t xml:space="preserve">. Các </w:t>
      </w:r>
      <w:proofErr w:type="spellStart"/>
      <w:r w:rsidRPr="00F1063C">
        <w:rPr>
          <w:sz w:val="28"/>
          <w:szCs w:val="28"/>
        </w:rPr>
        <w:t>doanh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nghiệp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và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cá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nhân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cần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nhanh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chóng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cập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nhật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những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thay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đổi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mới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để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đảm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bảo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tuân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thủ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quy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định</w:t>
      </w:r>
      <w:proofErr w:type="spellEnd"/>
      <w:r w:rsidRPr="00F1063C">
        <w:rPr>
          <w:sz w:val="28"/>
          <w:szCs w:val="28"/>
        </w:rPr>
        <w:t xml:space="preserve">, </w:t>
      </w:r>
      <w:proofErr w:type="spellStart"/>
      <w:r w:rsidRPr="00F1063C">
        <w:rPr>
          <w:sz w:val="28"/>
          <w:szCs w:val="28"/>
        </w:rPr>
        <w:t>cũng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như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khai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thác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hiệu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quả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các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ưu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đãi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mà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luật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mới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mang</w:t>
      </w:r>
      <w:proofErr w:type="spellEnd"/>
      <w:r w:rsidRPr="00F1063C">
        <w:rPr>
          <w:sz w:val="28"/>
          <w:szCs w:val="28"/>
        </w:rPr>
        <w:t xml:space="preserve"> </w:t>
      </w:r>
      <w:proofErr w:type="spellStart"/>
      <w:r w:rsidRPr="00F1063C">
        <w:rPr>
          <w:sz w:val="28"/>
          <w:szCs w:val="28"/>
        </w:rPr>
        <w:t>lại</w:t>
      </w:r>
      <w:proofErr w:type="spellEnd"/>
      <w:r w:rsidRPr="00F1063C">
        <w:rPr>
          <w:sz w:val="28"/>
          <w:szCs w:val="28"/>
        </w:rPr>
        <w:t>.</w:t>
      </w:r>
    </w:p>
    <w:p w14:paraId="696AF38A" w14:textId="0E364BA9" w:rsidR="00E75665" w:rsidRPr="0026379F" w:rsidRDefault="00E75665" w:rsidP="00770E30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bCs/>
          <w:color w:val="0D0D0D" w:themeColor="text1" w:themeTint="F2"/>
          <w:sz w:val="28"/>
          <w:szCs w:val="28"/>
        </w:rPr>
      </w:pPr>
      <w:r w:rsidRPr="0026379F">
        <w:rPr>
          <w:b/>
          <w:bCs/>
          <w:color w:val="0D0D0D" w:themeColor="text1" w:themeTint="F2"/>
          <w:sz w:val="28"/>
          <w:szCs w:val="28"/>
        </w:rPr>
        <w:t>TÀI LIỆU THAM KHẢO</w:t>
      </w:r>
    </w:p>
    <w:p w14:paraId="312AEF93" w14:textId="6106C037" w:rsidR="00E75665" w:rsidRPr="0026379F" w:rsidRDefault="0026379F" w:rsidP="00770E3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379F">
        <w:rPr>
          <w:color w:val="0D0D0D" w:themeColor="text1" w:themeTint="F2"/>
          <w:sz w:val="28"/>
          <w:szCs w:val="28"/>
          <w:shd w:val="clear" w:color="auto" w:fill="FFFFFF"/>
        </w:rPr>
        <w:t>L</w:t>
      </w:r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uật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thuế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giá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trị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gia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tăng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sửa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đổi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E75665" w:rsidRPr="0026379F">
        <w:rPr>
          <w:color w:val="0D0D0D" w:themeColor="text1" w:themeTint="F2"/>
          <w:sz w:val="28"/>
          <w:szCs w:val="28"/>
          <w:shd w:val="clear" w:color="auto" w:fill="FFFFFF"/>
        </w:rPr>
        <w:t xml:space="preserve"> 48/2024/QH15</w:t>
      </w:r>
    </w:p>
    <w:sectPr w:rsidR="00E75665" w:rsidRPr="0026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E3C"/>
    <w:multiLevelType w:val="multilevel"/>
    <w:tmpl w:val="17C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51CBA"/>
    <w:multiLevelType w:val="multilevel"/>
    <w:tmpl w:val="948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7062"/>
    <w:multiLevelType w:val="multilevel"/>
    <w:tmpl w:val="77F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35907"/>
    <w:multiLevelType w:val="multilevel"/>
    <w:tmpl w:val="3840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F3479"/>
    <w:multiLevelType w:val="multilevel"/>
    <w:tmpl w:val="70F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3316E"/>
    <w:multiLevelType w:val="multilevel"/>
    <w:tmpl w:val="2FF4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A3FAD"/>
    <w:multiLevelType w:val="multilevel"/>
    <w:tmpl w:val="1D3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50DD0"/>
    <w:multiLevelType w:val="multilevel"/>
    <w:tmpl w:val="4FF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70F2A"/>
    <w:multiLevelType w:val="multilevel"/>
    <w:tmpl w:val="EF6C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0NzMyNjEyNbG0NDVR0lEKTi0uzszPAykwrgUAl+eb7CwAAAA="/>
  </w:docVars>
  <w:rsids>
    <w:rsidRoot w:val="00770E30"/>
    <w:rsid w:val="00006758"/>
    <w:rsid w:val="00082F35"/>
    <w:rsid w:val="001161C9"/>
    <w:rsid w:val="00190581"/>
    <w:rsid w:val="0026379F"/>
    <w:rsid w:val="00293540"/>
    <w:rsid w:val="006019AB"/>
    <w:rsid w:val="00717A3E"/>
    <w:rsid w:val="00770E30"/>
    <w:rsid w:val="009F612D"/>
    <w:rsid w:val="00A9793F"/>
    <w:rsid w:val="00CB1952"/>
    <w:rsid w:val="00CE21F7"/>
    <w:rsid w:val="00E75665"/>
    <w:rsid w:val="00EA673C"/>
    <w:rsid w:val="00F1063C"/>
    <w:rsid w:val="00F45BCF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A3F3"/>
  <w15:chartTrackingRefBased/>
  <w15:docId w15:val="{4C2DF0E9-B5EE-4B56-8F87-2232418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E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nr-views-182769">
    <w:name w:val="td-nr-views-182769"/>
    <w:basedOn w:val="DefaultParagraphFont"/>
    <w:rsid w:val="00770E30"/>
  </w:style>
  <w:style w:type="paragraph" w:styleId="NormalWeb">
    <w:name w:val="Normal (Web)"/>
    <w:basedOn w:val="Normal"/>
    <w:uiPriority w:val="99"/>
    <w:unhideWhenUsed/>
    <w:rsid w:val="0077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E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0E3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E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E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A9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795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45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4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185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1553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is.misa.vn/182769/luat-thue-gia-tri-gia-tang-sua-do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2025-04-15T07:37:00Z</dcterms:created>
  <dcterms:modified xsi:type="dcterms:W3CDTF">2025-04-17T01:59:00Z</dcterms:modified>
</cp:coreProperties>
</file>