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D2A0" w14:textId="77A0EDB9" w:rsidR="00974E27" w:rsidRPr="00974E27" w:rsidRDefault="00974E27" w:rsidP="00974E27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</w:pP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Một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số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lưu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ý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về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dự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thảo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Quy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chế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kiểm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soát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chất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lượng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kiểm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toán</w:t>
      </w:r>
      <w:proofErr w:type="spellEnd"/>
      <w:r w:rsidRPr="00974E27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 xml:space="preserve"> 2025</w:t>
      </w:r>
    </w:p>
    <w:p w14:paraId="6D4FF034" w14:textId="4B9D316C" w:rsidR="007E69A7" w:rsidRPr="007E69A7" w:rsidRDefault="007E69A7" w:rsidP="007E69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Theo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Điều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52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2011,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Khoản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1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Điều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9 Thông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tư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157/2014/TT-BTC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ngày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23/10/2014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về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đoạn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16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Chuẩn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1 (VSQC1) – “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xét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báo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tài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chính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đảm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”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phải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xây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tổ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chức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hệ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thống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đối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xét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đảm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.</w:t>
      </w:r>
    </w:p>
    <w:p w14:paraId="2EBEDB2D" w14:textId="77777777" w:rsidR="007E69A7" w:rsidRPr="007E69A7" w:rsidRDefault="007E69A7" w:rsidP="007E69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Mặt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qua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hoạt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Hội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nghề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Việt Nam (VACPA)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theo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ủy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quyền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Bộ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Tài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chính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tại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Quyết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32/2007/QĐ-BTC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ngày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15/5/2007, 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thấy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việc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nhỏ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vừa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tại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tự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triển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khai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cứu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xây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đảm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rất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khăn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hoặc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xây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nhưng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 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chưa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 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ứng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đầy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đủ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.</w:t>
      </w:r>
    </w:p>
    <w:p w14:paraId="6AEB108E" w14:textId="77777777" w:rsidR="007E69A7" w:rsidRPr="007E69A7" w:rsidRDefault="007E69A7" w:rsidP="007E69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2015, 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xây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dụng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nhỏ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vừa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theo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Quyết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373-2015/VACPA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ngày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14/12/2015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Chủ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VACPA.</w:t>
      </w:r>
    </w:p>
    <w:p w14:paraId="56E7152A" w14:textId="77777777" w:rsidR="007E69A7" w:rsidRPr="007E69A7" w:rsidRDefault="007E69A7" w:rsidP="007E69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này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thiết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nhằm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hướng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dẫn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xây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mình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ứng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yêu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cầu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chuẩn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nghề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 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nhưng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thay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việc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lãnh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đạo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bộ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nhân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 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nghiêp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phải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đọc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hiểu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tuân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thủ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yêu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cầu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chuẩn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nghề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. Do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tài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liệu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này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sẽ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sử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dụng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để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chứng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minh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tuân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thủ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yêu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cầu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chuẩn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nghề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xem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như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ý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kiến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chuyên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môn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hay ý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kiến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chuyên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gia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.</w:t>
      </w:r>
    </w:p>
    <w:p w14:paraId="7F323B85" w14:textId="45224A56" w:rsidR="007E69A7" w:rsidRPr="007360FA" w:rsidRDefault="007E69A7" w:rsidP="007E69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Từ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2015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đến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nay,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về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nhiều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thay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đặc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biệt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sau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56/2024/QH15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ngày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29/11/2024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sửa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sung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một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điều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9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trong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2011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văn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hướng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dẫn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2011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thay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sung.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Đồng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thời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tài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liệu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hướng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dẫn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chuyên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môn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trong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Chương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trình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báo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tài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chính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riêng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lần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thứ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4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2019,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Chương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trình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đoàn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lần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đầu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2023. </w:t>
      </w:r>
    </w:p>
    <w:p w14:paraId="7A23D694" w14:textId="03D43642" w:rsidR="007E69A7" w:rsidRPr="007E69A7" w:rsidRDefault="007E69A7" w:rsidP="007E69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tại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Bộ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Tài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chính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gần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đây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thấy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hệ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thống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một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còn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sai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sót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còn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chưa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phù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hợp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cũng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như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hoạt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.</w:t>
      </w:r>
    </w:p>
    <w:p w14:paraId="4BEBE24D" w14:textId="77777777" w:rsidR="007E69A7" w:rsidRPr="007E69A7" w:rsidRDefault="007E69A7" w:rsidP="007E69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Để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thay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trong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đến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rà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này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bước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thể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như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sau:</w:t>
      </w:r>
    </w:p>
    <w:p w14:paraId="33558B99" w14:textId="77777777" w:rsidR="007E69A7" w:rsidRPr="007E69A7" w:rsidRDefault="007E69A7" w:rsidP="007E69A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          1)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Rà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từng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điều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khoản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2015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; Tham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do Liên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đoàn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quốc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hoạt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theo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mô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hình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mạng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;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Đối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chiếu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tài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liệu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chuyên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môn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.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Từ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;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sung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nội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dung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cần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thể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hóa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hoặc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tham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chiếu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đến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tài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liệu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chuyên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môn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;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bỏ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nội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dung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chưa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phù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hợp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;</w:t>
      </w:r>
    </w:p>
    <w:p w14:paraId="73D94E6F" w14:textId="77777777" w:rsidR="007E69A7" w:rsidRPr="007E69A7" w:rsidRDefault="007E69A7" w:rsidP="007E69A7">
      <w:pPr>
        <w:shd w:val="clear" w:color="auto" w:fill="FFFFFF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Trước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chính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thức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sẽ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tiếp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tục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bước:</w:t>
      </w:r>
    </w:p>
    <w:p w14:paraId="72A30111" w14:textId="77777777" w:rsidR="007E69A7" w:rsidRPr="007E69A7" w:rsidRDefault="007E69A7" w:rsidP="007E69A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          2) Xin ý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kiến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rộng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rãi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/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Ủy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;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Tổng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Giám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đốc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/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Giám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đốc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;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người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tâm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qua Công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văn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; email;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đăng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trang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tin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tử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(website);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fanpage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VACPA;</w:t>
      </w:r>
    </w:p>
    <w:p w14:paraId="726CD60B" w14:textId="77777777" w:rsidR="007E69A7" w:rsidRPr="007E69A7" w:rsidRDefault="007E69A7" w:rsidP="007E69A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          3)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Tổng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hợp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ý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kiến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hoàn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để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chính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thức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.</w:t>
      </w:r>
    </w:p>
    <w:p w14:paraId="545C615A" w14:textId="77777777" w:rsidR="007E69A7" w:rsidRPr="007E69A7" w:rsidRDefault="007E69A7" w:rsidP="007E69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Trong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quá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trình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VACPA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tuân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thủ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nguyên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tắc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xây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bao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gồm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:</w:t>
      </w:r>
    </w:p>
    <w:p w14:paraId="770F8F2F" w14:textId="77777777" w:rsidR="007E69A7" w:rsidRPr="007E69A7" w:rsidRDefault="007E69A7" w:rsidP="007E69A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28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Tuân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thủ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cao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văn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;</w:t>
      </w:r>
    </w:p>
    <w:p w14:paraId="2AF507F2" w14:textId="77777777" w:rsidR="007E69A7" w:rsidRPr="007E69A7" w:rsidRDefault="007E69A7" w:rsidP="007E69A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28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Sử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dụng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thống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xuyên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suốt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toàn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bộ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KSCL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nhóm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từ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ngữ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đảm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phù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hợp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chuẩn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mực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nghề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văn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;</w:t>
      </w:r>
    </w:p>
    <w:p w14:paraId="153E8AC9" w14:textId="77777777" w:rsidR="007E69A7" w:rsidRPr="007E69A7" w:rsidRDefault="007E69A7" w:rsidP="007E69A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28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lastRenderedPageBreak/>
        <w:t xml:space="preserve">Tham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để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xem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xét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lựa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chọn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nội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dung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phù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hợp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phần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lớn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hoạt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tại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Việt Nam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thuộc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mô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mức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phức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quản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trị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;</w:t>
      </w:r>
    </w:p>
    <w:p w14:paraId="3012FE44" w14:textId="77777777" w:rsidR="007E69A7" w:rsidRPr="007E69A7" w:rsidRDefault="007E69A7" w:rsidP="007E69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Sau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quá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trình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rà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so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dụng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nhỏ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vừa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VACPA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2015,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Dự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này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sửa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sung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nội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dung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chủ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yếu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sau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:</w:t>
      </w:r>
    </w:p>
    <w:p w14:paraId="63B137AA" w14:textId="77777777" w:rsidR="007E69A7" w:rsidRPr="007E69A7" w:rsidRDefault="007E69A7" w:rsidP="007E69A7">
      <w:pPr>
        <w:numPr>
          <w:ilvl w:val="0"/>
          <w:numId w:val="2"/>
        </w:numPr>
        <w:shd w:val="clear" w:color="auto" w:fill="FFFFFF"/>
        <w:spacing w:line="276" w:lineRule="atLeast"/>
        <w:ind w:left="128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về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độc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hiện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sửa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sung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từ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2015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đến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nay (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gồm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: 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56/2024/QH15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ngày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29/11/2024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sửa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sung 9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trong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đó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sửa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sung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độc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lập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;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Nghị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90/2025/NĐ-CP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ngày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14/04/2025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Chính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phủ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sửa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sung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một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điều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Nghị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17/2012/NĐ-CP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ngày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13/03/2012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Chính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phủ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chi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tiết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hướng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dẫn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thi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một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điều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độc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lập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; Thông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tư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05/2025/TT-BTC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ngày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24/01/2025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Bộ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Tài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chính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sửa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Thông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tư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gồm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: Thông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tư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202/2012/TT-BTC; Thông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tư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203/2012/TT-BTC; Thông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tư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số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157/2014/TT-BTC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về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…)</w:t>
      </w: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;</w:t>
      </w:r>
    </w:p>
    <w:p w14:paraId="20B1611B" w14:textId="77777777" w:rsidR="007E69A7" w:rsidRPr="007E69A7" w:rsidRDefault="007E69A7" w:rsidP="007E69A7">
      <w:pPr>
        <w:numPr>
          <w:ilvl w:val="0"/>
          <w:numId w:val="2"/>
        </w:numPr>
        <w:shd w:val="clear" w:color="auto" w:fill="FFFFFF"/>
        <w:spacing w:line="276" w:lineRule="atLeast"/>
        <w:ind w:left="128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theo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Chương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trình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BCTC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riêng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2019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Chương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trình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BCTC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tập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đoàn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2023 do VACPA ban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;</w:t>
      </w:r>
    </w:p>
    <w:p w14:paraId="4FE7154F" w14:textId="77777777" w:rsidR="007E69A7" w:rsidRPr="007E69A7" w:rsidRDefault="007E69A7" w:rsidP="007E69A7">
      <w:pPr>
        <w:numPr>
          <w:ilvl w:val="0"/>
          <w:numId w:val="2"/>
        </w:numPr>
        <w:shd w:val="clear" w:color="auto" w:fill="FFFFFF"/>
        <w:spacing w:line="276" w:lineRule="atLeast"/>
        <w:ind w:left="128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sung,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sửa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đổi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nhiều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nội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dung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để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tăng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cường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KSCL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như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: (1)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Từng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yếu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tố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hệ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thống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KSCL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sung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đảm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(chi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tiết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xét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BCTC,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đảm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bảo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)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dịch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; (2) Các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phù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hợp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với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thuận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vị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lợi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ích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chúng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; (3)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tự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ty (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trong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Giám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); (4)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Thời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trữ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tài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liệu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hồ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sơ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đến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KSCL; (5) Các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vi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nghiêm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cấm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trường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hợp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KTV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và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doanh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toán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không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làm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;…</w:t>
      </w:r>
    </w:p>
    <w:p w14:paraId="6F2962FE" w14:textId="77777777" w:rsidR="007E69A7" w:rsidRPr="007E69A7" w:rsidRDefault="007E69A7" w:rsidP="007E69A7">
      <w:pPr>
        <w:numPr>
          <w:ilvl w:val="0"/>
          <w:numId w:val="2"/>
        </w:numPr>
        <w:shd w:val="clear" w:color="auto" w:fill="FFFFFF"/>
        <w:spacing w:line="276" w:lineRule="atLeast"/>
        <w:ind w:left="128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bỏ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nội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dung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chưa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phù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hợp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;</w:t>
      </w:r>
    </w:p>
    <w:p w14:paraId="21C7AEAD" w14:textId="77777777" w:rsidR="007E69A7" w:rsidRPr="007E69A7" w:rsidRDefault="007E69A7" w:rsidP="007E69A7">
      <w:pPr>
        <w:numPr>
          <w:ilvl w:val="0"/>
          <w:numId w:val="2"/>
        </w:numPr>
        <w:shd w:val="clear" w:color="auto" w:fill="FFFFFF"/>
        <w:spacing w:line="276" w:lineRule="atLeast"/>
        <w:ind w:left="1287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Bổ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sung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lục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03 “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tổng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hợp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căn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cứ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lý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”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để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tham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chiếu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 </w:t>
      </w:r>
      <w:bookmarkStart w:id="0" w:name="m_-4908032900505286772__Hlk197696791"/>
      <w:bookmarkEnd w:id="0"/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văn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bản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pháp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có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liên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quan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 </w:t>
      </w:r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(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Luật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Nghị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định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, Thông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tư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chuẩn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mực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nghề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nghiệp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,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tài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liệu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hướng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dẫn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 IFAC…)</w:t>
      </w:r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 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phải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tuân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thủ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đã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được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cụ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thể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hóa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thành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các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 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Điều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/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Khoản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của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Quy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chế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kiểm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soát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chất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lượng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mẫu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này</w:t>
      </w:r>
      <w:proofErr w:type="spellEnd"/>
      <w:r w:rsidRPr="007E69A7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14:ligatures w14:val="none"/>
        </w:rPr>
        <w:t>.</w:t>
      </w:r>
    </w:p>
    <w:p w14:paraId="0734571B" w14:textId="77777777" w:rsidR="00AF4FD8" w:rsidRPr="007360FA" w:rsidRDefault="00AF4FD8">
      <w:pPr>
        <w:rPr>
          <w:rFonts w:ascii="Times New Roman" w:hAnsi="Times New Roman" w:cs="Times New Roman"/>
        </w:rPr>
      </w:pPr>
    </w:p>
    <w:sectPr w:rsidR="00AF4FD8" w:rsidRPr="00736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5F7B"/>
    <w:multiLevelType w:val="multilevel"/>
    <w:tmpl w:val="7AA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5058B"/>
    <w:multiLevelType w:val="multilevel"/>
    <w:tmpl w:val="B044B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457689">
    <w:abstractNumId w:val="0"/>
  </w:num>
  <w:num w:numId="2" w16cid:durableId="103877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7"/>
    <w:rsid w:val="000B5416"/>
    <w:rsid w:val="0033541C"/>
    <w:rsid w:val="00563ABD"/>
    <w:rsid w:val="005B35B4"/>
    <w:rsid w:val="007360FA"/>
    <w:rsid w:val="0075014B"/>
    <w:rsid w:val="007E69A7"/>
    <w:rsid w:val="00974E27"/>
    <w:rsid w:val="00A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4047"/>
  <w15:chartTrackingRefBased/>
  <w15:docId w15:val="{E780BD72-1A93-4274-AD2D-61149D0B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9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9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9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9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9A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Nhân Nguyễn</dc:creator>
  <cp:keywords/>
  <dc:description/>
  <cp:lastModifiedBy>Lê Nhân Nguyễn</cp:lastModifiedBy>
  <cp:revision>5</cp:revision>
  <dcterms:created xsi:type="dcterms:W3CDTF">2025-06-17T03:52:00Z</dcterms:created>
  <dcterms:modified xsi:type="dcterms:W3CDTF">2025-06-17T03:56:00Z</dcterms:modified>
</cp:coreProperties>
</file>