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EA" w:rsidRPr="00A360EA" w:rsidRDefault="00A360EA" w:rsidP="00A360EA">
      <w:pPr>
        <w:shd w:val="clear" w:color="auto" w:fill="FFFFFF"/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</w:pPr>
      <w:r w:rsidRPr="00A360EA"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  <w:t>QUI ĐỊNH VỀ LƯU TRỮ TÀI LIỆU KẾ TOÁN</w:t>
      </w:r>
    </w:p>
    <w:p w:rsidR="00A360EA" w:rsidRDefault="00A360EA" w:rsidP="00A360EA">
      <w:pPr>
        <w:shd w:val="clear" w:color="auto" w:fill="FFFFFF"/>
        <w:spacing w:after="0" w:line="420" w:lineRule="exact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A360EA" w:rsidRPr="00A360EA" w:rsidRDefault="00A360EA" w:rsidP="00A360EA">
      <w:pPr>
        <w:shd w:val="clear" w:color="auto" w:fill="FFFFFF"/>
        <w:spacing w:after="0" w:line="420" w:lineRule="exact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proofErr w:type="gram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Chứng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những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loại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giấy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tờ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quan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trọng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liên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quan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trực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tiếp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đến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hoạt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động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tài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chính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doanh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nghiệp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bạn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Theo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quy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tại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Điều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41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Luật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88/2015/QH13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thì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tài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liệu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phải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đưa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vào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lưu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trữ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thời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hạn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12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tháng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Thời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gian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này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kể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ngày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kết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thúc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kỳ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năm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hoặc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đến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khi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kết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thúc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toán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A360EA" w:rsidRPr="00A360EA" w:rsidRDefault="00A360EA" w:rsidP="00A360EA">
      <w:pPr>
        <w:shd w:val="clear" w:color="auto" w:fill="FFFFFF"/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360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Thời</w:t>
      </w:r>
      <w:proofErr w:type="spellEnd"/>
      <w:r w:rsidRPr="00A360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hạn</w:t>
      </w:r>
      <w:proofErr w:type="spellEnd"/>
      <w:r w:rsidRPr="00A360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lưu</w:t>
      </w:r>
      <w:proofErr w:type="spellEnd"/>
      <w:r w:rsidRPr="00A360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trữ</w:t>
      </w:r>
      <w:proofErr w:type="spellEnd"/>
      <w:r w:rsidRPr="00A360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chứng</w:t>
      </w:r>
      <w:proofErr w:type="spellEnd"/>
      <w:r w:rsidRPr="00A360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từ</w:t>
      </w:r>
      <w:proofErr w:type="spellEnd"/>
      <w:r w:rsidRPr="00A360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kế</w:t>
      </w:r>
      <w:proofErr w:type="spellEnd"/>
      <w:r w:rsidRPr="00A360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toán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à</w:t>
      </w:r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liệu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chia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thành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loại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5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năm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10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năm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vĩnh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viễn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Tất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cả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đều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quy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tại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Điều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12,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Điều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13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Điều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14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tại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Nghị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A36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174/2016/NĐ-CP.</w:t>
      </w:r>
    </w:p>
    <w:p w:rsidR="00A360EA" w:rsidRPr="00A360EA" w:rsidRDefault="00A360EA" w:rsidP="00A360EA">
      <w:pPr>
        <w:shd w:val="clear" w:color="auto" w:fill="FFFFFF"/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</w:pPr>
      <w:proofErr w:type="spellStart"/>
      <w:proofErr w:type="gramStart"/>
      <w:r w:rsidRPr="00A360EA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Điều</w:t>
      </w:r>
      <w:proofErr w:type="spellEnd"/>
      <w:r w:rsidRPr="00A360EA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12.</w:t>
      </w:r>
      <w:proofErr w:type="gram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phải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lưu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trữ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tối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thiểu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5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năm</w:t>
      </w:r>
      <w:proofErr w:type="spellEnd"/>
    </w:p>
    <w:p w:rsidR="00A360EA" w:rsidRPr="00A360EA" w:rsidRDefault="00A360EA" w:rsidP="00A360EA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1.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Chứng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từ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không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sử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dụng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trực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tiếp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để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ghi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sổ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lập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chính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như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phiếu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proofErr w:type="gram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thu</w:t>
      </w:r>
      <w:proofErr w:type="spellEnd"/>
      <w:proofErr w:type="gram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phiếu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chi,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phiếu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nhập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kho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phiếu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xuất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kho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không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lưu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trong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tập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bộ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phận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:rsidR="00A360EA" w:rsidRPr="00A360EA" w:rsidRDefault="00A360EA" w:rsidP="00A360EA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2.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dùng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cho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quản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lý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điều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hành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vị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không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trực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tiếp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ghi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sổ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lập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chính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:rsidR="00A360EA" w:rsidRPr="00A360EA" w:rsidRDefault="00A360EA" w:rsidP="00A360EA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3.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hợp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tại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khoản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1,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khoản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2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Điều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này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mà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pháp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luật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khác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phải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lưu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trữ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trên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5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năm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thì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thực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hiện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lưu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trữ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đó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:rsidR="00A360EA" w:rsidRPr="00A360EA" w:rsidRDefault="00A360EA" w:rsidP="00A360EA">
      <w:pPr>
        <w:shd w:val="clear" w:color="auto" w:fill="FFFFFF"/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</w:pPr>
      <w:proofErr w:type="spellStart"/>
      <w:proofErr w:type="gramStart"/>
      <w:r w:rsidRPr="00A360EA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Điều</w:t>
      </w:r>
      <w:proofErr w:type="spellEnd"/>
      <w:r w:rsidRPr="00A360EA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13.</w:t>
      </w:r>
      <w:proofErr w:type="gram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phải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lưu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trữ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tối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thiểu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10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năm</w:t>
      </w:r>
      <w:proofErr w:type="spellEnd"/>
    </w:p>
    <w:p w:rsidR="00A360EA" w:rsidRPr="00A360EA" w:rsidRDefault="00A360EA" w:rsidP="00A360EA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1.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Chứng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từ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sử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dụng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trực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tiếp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để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ghi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sổ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lập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chính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bảng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kê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bảng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tổng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hợp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chi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tiết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sổ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chi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tiết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sổ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tổng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hợp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chính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tháng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quý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năm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vị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quyết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tự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kiểm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tra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biên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bản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tiêu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hủy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lưu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trữ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khác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sử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dụng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trực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tiếp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để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ghi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sổ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lập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chính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:rsidR="00A360EA" w:rsidRPr="00A360EA" w:rsidRDefault="00A360EA" w:rsidP="00A360EA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2.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liên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quan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đến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thanh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lý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nhượng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sản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cố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;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quả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kiểm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kê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đánh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giá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sản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:rsidR="00A360EA" w:rsidRPr="00A360EA" w:rsidRDefault="00A360EA" w:rsidP="00A360EA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3.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vị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chủ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đầu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tư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bao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gồm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kỳ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năm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về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quyết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dự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proofErr w:type="gram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án</w:t>
      </w:r>
      <w:proofErr w:type="spellEnd"/>
      <w:proofErr w:type="gram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hoàn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thành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thuộc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nhóm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B, C.</w:t>
      </w:r>
    </w:p>
    <w:p w:rsidR="00A360EA" w:rsidRPr="00A360EA" w:rsidRDefault="00A360EA" w:rsidP="00A360EA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lastRenderedPageBreak/>
        <w:t xml:space="preserve">4.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liên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quan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đến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thành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lập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chia,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tách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hợp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nhất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sáp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nhập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chuyển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đổi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hình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thức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sở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hữu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chuyển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đổi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loại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hình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doanh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nghiệp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hoặc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chuyển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đổi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vị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giải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thể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phá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sản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chấm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dứt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hoạt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động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thúc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dự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:rsidR="00A360EA" w:rsidRPr="00A360EA" w:rsidRDefault="00A360EA" w:rsidP="00A360EA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5.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liên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quan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tại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vị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như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hồ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sơ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kiểm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Kiểm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Nhà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nước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hồ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sơ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thanh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tra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kiểm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tra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giám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sát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cơ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quan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nhà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nước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có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thẩm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quyền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hoặc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hồ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sơ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tổ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chức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kiểm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độc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lập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:rsidR="00A360EA" w:rsidRPr="00A360EA" w:rsidRDefault="00A360EA" w:rsidP="00A360EA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6.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khác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không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tại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Điều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12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Điều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14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Nghị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này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:rsidR="00A360EA" w:rsidRPr="00A360EA" w:rsidRDefault="00A360EA" w:rsidP="00A360EA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7.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hợp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tại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khoản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1, 2, 3, 4, 5, 6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Điều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này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mà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pháp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luật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khác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phải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lưu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trữ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trên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10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năm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thì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thực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hiện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lưu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trữ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proofErr w:type="gram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proofErr w:type="gram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đó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:rsidR="00A360EA" w:rsidRPr="00A360EA" w:rsidRDefault="00A360EA" w:rsidP="00A360EA">
      <w:pPr>
        <w:shd w:val="clear" w:color="auto" w:fill="FFFFFF"/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</w:pPr>
      <w:proofErr w:type="spellStart"/>
      <w:proofErr w:type="gramStart"/>
      <w:r w:rsidRPr="00A360EA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Điều</w:t>
      </w:r>
      <w:proofErr w:type="spellEnd"/>
      <w:r w:rsidRPr="00A360EA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14.</w:t>
      </w:r>
      <w:proofErr w:type="gram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phải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lưu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trữ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vĩnh</w:t>
      </w:r>
      <w:proofErr w:type="spellEnd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b/>
          <w:i/>
          <w:color w:val="050505"/>
          <w:sz w:val="26"/>
          <w:szCs w:val="26"/>
        </w:rPr>
        <w:t>viễn</w:t>
      </w:r>
      <w:proofErr w:type="spellEnd"/>
    </w:p>
    <w:p w:rsidR="00A360EA" w:rsidRPr="00A360EA" w:rsidRDefault="00A360EA" w:rsidP="00A360EA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1.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Đối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với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vị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trong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lĩnh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vực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nhà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nước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phải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lưu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trữ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vĩnh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viễn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gồm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tổng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quyết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ngân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sách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nhà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nước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năm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đã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Quốc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hội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phê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chuẩn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quyết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ngân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sách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địa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phương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đã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Hội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đồng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nhân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dân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cấp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phê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chuẩn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;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Hồ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sơ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cáo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quyết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dự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hoàn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thành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thuộc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nhóm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A,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dự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quan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trọng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quốc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gia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;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khác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có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tính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sử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có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ý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nghĩa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quan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trọng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về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kinh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an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ninh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quốc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phòng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:rsidR="00A360EA" w:rsidRPr="00A360EA" w:rsidRDefault="00A360EA" w:rsidP="00A360EA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Việc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xác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khác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phải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lưu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trữ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vĩnh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viễn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do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người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đại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diện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pháp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luật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vị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do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ngành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hoặc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địa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phương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quyết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trên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cơ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sở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xác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tính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chất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sử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ý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nghĩa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quan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trọng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về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kinh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an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ninh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quốc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phòng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:rsidR="00A360EA" w:rsidRPr="00A360EA" w:rsidRDefault="00A360EA" w:rsidP="00A360EA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2.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Đối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với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hoạt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động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kinh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doanh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phải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lưu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trữ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vĩnh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viễn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gồm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có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tính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sử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có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ý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nghĩa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quan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trọng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về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kinh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gram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an</w:t>
      </w:r>
      <w:proofErr w:type="gram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ninh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quốc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phòng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:rsidR="00A360EA" w:rsidRPr="00A360EA" w:rsidRDefault="00A360EA" w:rsidP="00A360EA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Việc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xác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phải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lưu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trữ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vĩnh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viễn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do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người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đứng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đầu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hoặc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người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đại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diện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pháp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luật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vị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quyết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căn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cứ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vào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tính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sử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ý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nghĩa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lâu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dài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thông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tin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để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quyết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cho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từng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hợp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cụ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thể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giao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cho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bộ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phận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hoặc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bộ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phận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khác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lưu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trữ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dưới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hình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thức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bản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gốc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hoặc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hình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thức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khác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:rsidR="00A360EA" w:rsidRPr="00A360EA" w:rsidRDefault="00A360EA" w:rsidP="00A360EA">
      <w:pPr>
        <w:shd w:val="clear" w:color="auto" w:fill="FFFFFF"/>
        <w:spacing w:after="0" w:line="420" w:lineRule="exact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3.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Thời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lưu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trữ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vĩnh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viễn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phải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là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thời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lưu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trữ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trên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10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năm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cho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đến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khi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bị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hủy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hoại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tự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nhiên</w:t>
      </w:r>
      <w:proofErr w:type="spellEnd"/>
      <w:r w:rsidRPr="00A360EA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:rsidR="00072D61" w:rsidRPr="00A360EA" w:rsidRDefault="00072D61" w:rsidP="00A360EA">
      <w:pPr>
        <w:spacing w:after="0" w:line="42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072D61" w:rsidRPr="00A36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EA"/>
    <w:rsid w:val="00072D61"/>
    <w:rsid w:val="00A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2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9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1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4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56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30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0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6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2022-12-14T09:34:00Z</dcterms:created>
  <dcterms:modified xsi:type="dcterms:W3CDTF">2022-12-14T09:40:00Z</dcterms:modified>
</cp:coreProperties>
</file>